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3"/>
        <w:jc w:val="left"/>
        <w:spacing w:before="120" w:after="120" w:line="360" w:lineRule="auto"/>
        <w:rPr>
          <w:rFonts w:hint="eastAsia" w:ascii="Arial" w:hAnsi="Arial" w:eastAsia="黑体"/>
          <w:b/>
          <w:bCs/>
          <w:color w:val="auto"/>
          <w:sz w:val="84"/>
          <w:szCs w:val="24"/>
          <w:highlight w:val="none"/>
        </w:rPr>
      </w:pPr>
      <w:r>
        <w:rPr>
          <w:color w:val="auto"/>
          <w:highlight w:val="none"/>
        </w:rPr>
      </w:r>
      <w:bookmarkStart w:id="0" w:name="_Toc120614210"/>
      <w:r>
        <w:rPr>
          <w:color w:val="auto"/>
          <w:highlight w:val="none"/>
        </w:rPr>
      </w:r>
      <w:bookmarkStart w:id="1" w:name="_Toc479757206"/>
      <w:r>
        <w:rPr>
          <w:color w:val="auto"/>
          <w:highlight w:val="none"/>
        </w:rPr>
      </w:r>
      <w:bookmarkStart w:id="2" w:name="_Toc513029200"/>
      <w:r>
        <w:rPr>
          <w:color w:val="auto"/>
          <w:highlight w:val="none"/>
        </w:rPr>
      </w:r>
      <w:bookmarkStart w:id="3" w:name="_Toc20823272"/>
      <w:r>
        <w:rPr>
          <w:color w:val="auto"/>
          <w:highlight w:val="none"/>
        </w:rPr>
      </w:r>
      <w:bookmarkStart w:id="4" w:name="_Toc16938516"/>
      <w:r>
        <w:rPr>
          <w:color w:val="auto"/>
          <w:highlight w:val="none"/>
        </w:rPr>
      </w:r>
      <w:bookmarkStart w:id="5" w:name="_Toc523127445"/>
      <w:r>
        <w:rPr>
          <w:color w:val="auto"/>
          <w:highlight w:val="none"/>
        </w:rPr>
      </w:r>
      <w:r/>
    </w:p>
    <w:p>
      <w:pPr>
        <w:pStyle w:val="951"/>
        <w:rPr>
          <w:rFonts w:hint="eastAsia"/>
          <w:color w:val="auto"/>
          <w:highlight w:val="none"/>
        </w:rPr>
      </w:pPr>
      <w:r>
        <w:rPr>
          <w:rFonts w:hint="eastAsia"/>
          <w:color w:val="auto"/>
          <w:highlight w:val="none"/>
        </w:rPr>
      </w:r>
      <w:r>
        <w:rPr>
          <w:color w:val="auto"/>
          <w:highlight w:val="none"/>
        </w:rPr>
      </w:r>
      <w:r/>
    </w:p>
    <w:p>
      <w:pPr>
        <w:pStyle w:val="965"/>
        <w:jc w:val="center"/>
        <w:rPr>
          <w:rFonts w:hint="eastAsia" w:eastAsia="黑体"/>
          <w:b/>
          <w:bCs/>
          <w:color w:val="auto"/>
          <w:sz w:val="84"/>
          <w:highlight w:val="none"/>
        </w:rPr>
      </w:pPr>
      <w:r>
        <w:rPr>
          <w:rFonts w:hint="eastAsia" w:eastAsia="黑体"/>
          <w:b/>
          <w:bCs/>
          <w:color w:val="auto"/>
          <w:sz w:val="84"/>
          <w:highlight w:val="none"/>
        </w:rPr>
        <w:t xml:space="preserve">招　标　文　件</w:t>
      </w:r>
      <w:r>
        <w:rPr>
          <w:color w:val="auto"/>
          <w:highlight w:val="none"/>
        </w:rPr>
      </w:r>
      <w:r/>
    </w:p>
    <w:p>
      <w:pPr>
        <w:pStyle w:val="873"/>
        <w:ind w:firstLine="1506"/>
        <w:rPr>
          <w:b/>
          <w:color w:val="auto"/>
          <w:sz w:val="30"/>
          <w:szCs w:val="30"/>
          <w:highlight w:val="none"/>
          <w:u w:val="single"/>
        </w:rPr>
      </w:pPr>
      <w:r>
        <w:rPr>
          <w:rFonts w:hint="eastAsia"/>
          <w:b/>
          <w:color w:val="auto"/>
          <w:sz w:val="30"/>
          <w:szCs w:val="30"/>
          <w:highlight w:val="none"/>
        </w:rPr>
        <w:t xml:space="preserve">项目名称：六合经济开发区2026-2027年度二片区绿化养护项目</w:t>
      </w:r>
      <w:r>
        <w:rPr>
          <w:rFonts w:hint="eastAsia"/>
          <w:b/>
          <w:color w:val="auto"/>
          <w:sz w:val="32"/>
          <w:szCs w:val="32"/>
          <w:highlight w:val="none"/>
        </w:rPr>
        <w:t xml:space="preserve"> </w:t>
      </w:r>
      <w:r>
        <w:rPr>
          <w:color w:val="auto"/>
          <w:highlight w:val="none"/>
        </w:rPr>
      </w:r>
      <w:r/>
    </w:p>
    <w:p>
      <w:pPr>
        <w:pStyle w:val="873"/>
        <w:ind w:firstLine="1506"/>
        <w:rPr>
          <w:rFonts w:hint="eastAsia"/>
          <w:b/>
          <w:color w:val="auto"/>
          <w:sz w:val="30"/>
          <w:szCs w:val="30"/>
          <w:highlight w:val="none"/>
        </w:rPr>
      </w:pPr>
      <w:r>
        <w:rPr>
          <w:rFonts w:hint="eastAsia"/>
          <w:b/>
          <w:color w:val="auto"/>
          <w:sz w:val="30"/>
          <w:szCs w:val="30"/>
          <w:highlight w:val="none"/>
        </w:rPr>
        <w:t xml:space="preserve">项目编号：JSZC-320116-JZCG-G2026-0017</w:t>
      </w:r>
      <w:r>
        <w:rPr>
          <w:rFonts w:hint="eastAsia"/>
          <w:b/>
          <w:color w:val="auto"/>
          <w:sz w:val="32"/>
          <w:szCs w:val="32"/>
          <w:highlight w:val="none"/>
        </w:rPr>
        <w:t xml:space="preserve"> </w:t>
      </w:r>
      <w:r>
        <w:rPr>
          <w:rFonts w:hint="eastAsia"/>
          <w:b/>
          <w:color w:val="auto"/>
          <w:sz w:val="30"/>
          <w:szCs w:val="30"/>
          <w:highlight w:val="none"/>
        </w:rPr>
        <w:t xml:space="preserve">              </w:t>
      </w:r>
      <w:r>
        <w:rPr>
          <w:color w:val="auto"/>
          <w:highlight w:val="none"/>
        </w:rPr>
      </w:r>
      <w:r/>
    </w:p>
    <w:p>
      <w:pPr>
        <w:pStyle w:val="873"/>
        <w:jc w:val="center"/>
        <w:rPr>
          <w:rFonts w:hint="eastAsia"/>
          <w:b/>
          <w:color w:val="auto"/>
          <w:sz w:val="30"/>
          <w:szCs w:val="30"/>
          <w:highlight w:val="none"/>
        </w:rPr>
      </w:pPr>
      <w:r>
        <w:rPr>
          <w:rFonts w:hint="eastAsia"/>
          <w:b/>
          <w:color w:val="auto"/>
          <w:sz w:val="30"/>
          <w:szCs w:val="30"/>
          <w:highlight w:val="none"/>
        </w:rPr>
        <w:t xml:space="preserve">（</w:t>
      </w:r>
      <w:r>
        <w:rPr>
          <w:rFonts w:hint="eastAsia" w:ascii="宋体" w:hAnsi="宋体" w:cs="宋体"/>
          <w:b/>
          <w:bCs/>
          <w:color w:val="auto"/>
          <w:sz w:val="30"/>
          <w:szCs w:val="30"/>
          <w:highlight w:val="none"/>
        </w:rPr>
        <w:t xml:space="preserve">专门</w:t>
      </w:r>
      <w:r>
        <w:rPr>
          <w:rFonts w:hint="eastAsia"/>
          <w:b/>
          <w:color w:val="auto"/>
          <w:sz w:val="30"/>
          <w:szCs w:val="30"/>
          <w:highlight w:val="none"/>
        </w:rPr>
        <w:t xml:space="preserve">面向中小企业）</w:t>
      </w:r>
      <w:r>
        <w:rPr>
          <w:color w:val="auto"/>
          <w:highlight w:val="none"/>
        </w:rPr>
      </w:r>
      <w:r/>
    </w:p>
    <w:p>
      <w:pPr>
        <w:pStyle w:val="873"/>
        <w:jc w:val="center"/>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p>
      <w:pPr>
        <w:pStyle w:val="873"/>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p>
      <w:pPr>
        <w:pStyle w:val="873"/>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p>
      <w:pPr>
        <w:pStyle w:val="873"/>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p>
      <w:pPr>
        <w:pStyle w:val="873"/>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p>
      <w:pPr>
        <w:pStyle w:val="873"/>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p>
      <w:pPr>
        <w:pStyle w:val="873"/>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p>
      <w:pPr>
        <w:pStyle w:val="965"/>
        <w:ind w:firstLine="0"/>
        <w:jc w:val="center"/>
        <w:rPr>
          <w:rFonts w:hint="eastAsia" w:eastAsia="宋体"/>
          <w:b/>
          <w:bCs/>
          <w:color w:val="auto"/>
          <w:sz w:val="32"/>
          <w:highlight w:val="none"/>
        </w:rPr>
      </w:pPr>
      <w:r>
        <w:rPr>
          <w:rFonts w:hint="eastAsia"/>
          <w:b/>
          <w:bCs/>
          <w:color w:val="auto"/>
          <w:sz w:val="32"/>
          <w:highlight w:val="none"/>
          <w:lang w:eastAsia="zh-CN"/>
        </w:rPr>
        <w:t xml:space="preserve">南京市公共资源交易中心六合分中心</w:t>
      </w:r>
      <w:r>
        <w:rPr>
          <w:color w:val="auto"/>
          <w:highlight w:val="none"/>
        </w:rPr>
      </w:r>
      <w:r/>
    </w:p>
    <w:p>
      <w:pPr>
        <w:pStyle w:val="873"/>
        <w:jc w:val="center"/>
        <w:rPr>
          <w:rFonts w:hint="eastAsia"/>
          <w:b/>
          <w:color w:val="auto"/>
          <w:sz w:val="32"/>
          <w:szCs w:val="32"/>
          <w:highlight w:val="none"/>
        </w:rPr>
      </w:pPr>
      <w:r>
        <w:rPr>
          <w:rFonts w:hint="eastAsia"/>
          <w:b/>
          <w:color w:val="auto"/>
          <w:sz w:val="32"/>
          <w:szCs w:val="32"/>
          <w:highlight w:val="none"/>
        </w:rPr>
        <w:t xml:space="preserve">20</w:t>
      </w:r>
      <w:r>
        <w:rPr>
          <w:rFonts w:hint="eastAsia"/>
          <w:b/>
          <w:color w:val="auto"/>
          <w:sz w:val="32"/>
          <w:szCs w:val="32"/>
          <w:highlight w:val="none"/>
          <w:lang w:val="en-US" w:eastAsia="zh-CN"/>
        </w:rPr>
        <w:t xml:space="preserve">2</w:t>
      </w:r>
      <w:r>
        <w:rPr>
          <w:rFonts w:hint="eastAsia"/>
          <w:b/>
          <w:color w:val="auto"/>
          <w:sz w:val="32"/>
          <w:szCs w:val="32"/>
          <w:highlight w:val="none"/>
          <w:lang w:val="en-US" w:eastAsia="zh-CN"/>
        </w:rPr>
        <w:t xml:space="preserve">6</w:t>
      </w:r>
      <w:r>
        <w:rPr>
          <w:rFonts w:hint="eastAsia"/>
          <w:b/>
          <w:color w:val="auto"/>
          <w:sz w:val="32"/>
          <w:szCs w:val="32"/>
          <w:highlight w:val="none"/>
        </w:rPr>
        <w:t xml:space="preserve">年</w:t>
      </w:r>
      <w:r>
        <w:rPr>
          <w:rFonts w:hint="eastAsia"/>
          <w:b/>
          <w:color w:val="auto"/>
          <w:sz w:val="32"/>
          <w:szCs w:val="32"/>
          <w:highlight w:val="none"/>
          <w:lang w:val="en-US" w:eastAsia="zh-CN"/>
        </w:rPr>
        <w:t xml:space="preserve">6</w:t>
      </w:r>
      <w:r>
        <w:rPr>
          <w:rFonts w:hint="eastAsia"/>
          <w:b/>
          <w:color w:val="auto"/>
          <w:sz w:val="32"/>
          <w:szCs w:val="32"/>
          <w:highlight w:val="none"/>
        </w:rPr>
        <w:t xml:space="preserve">月</w:t>
      </w:r>
      <w:r>
        <w:rPr>
          <w:color w:val="auto"/>
          <w:highlight w:val="none"/>
        </w:rPr>
      </w:r>
      <w:r/>
    </w:p>
    <w:p>
      <w:pPr>
        <w:pStyle w:val="873"/>
        <w:jc w:val="left"/>
        <w:spacing w:before="120" w:after="120" w:line="360" w:lineRule="auto"/>
        <w:rPr>
          <w:rFonts w:hint="eastAsia" w:ascii="Arial" w:hAnsi="Arial"/>
          <w:color w:val="auto"/>
          <w:sz w:val="24"/>
          <w:szCs w:val="24"/>
          <w:highlight w:val="none"/>
          <w:u w:val="single"/>
        </w:rPr>
      </w:pPr>
      <w:r>
        <w:rPr>
          <w:rFonts w:hint="eastAsia" w:ascii="Arial" w:hAnsi="Arial"/>
          <w:color w:val="auto"/>
          <w:sz w:val="24"/>
          <w:szCs w:val="24"/>
          <w:highlight w:val="none"/>
        </w:rPr>
        <w:t xml:space="preserve">                        </w:t>
      </w:r>
      <w:r>
        <w:rPr>
          <w:color w:val="auto"/>
          <w:highlight w:val="none"/>
        </w:rPr>
      </w:r>
      <w:r/>
    </w:p>
    <w:p>
      <w:pPr>
        <w:pStyle w:val="873"/>
        <w:jc w:val="left"/>
        <w:spacing w:before="120" w:after="120" w:line="360" w:lineRule="auto"/>
        <w:rPr>
          <w:color w:val="auto"/>
          <w:highlight w:val="none"/>
        </w:rPr>
      </w:pPr>
      <w:r>
        <w:rPr>
          <w:rFonts w:hint="eastAsia" w:ascii="Arial" w:hAnsi="Arial"/>
          <w:color w:val="auto"/>
          <w:sz w:val="24"/>
          <w:szCs w:val="24"/>
          <w:highlight w:val="none"/>
        </w:rPr>
        <w:t xml:space="preserve"> </w:t>
      </w:r>
      <w:r>
        <w:rPr>
          <w:color w:val="auto"/>
          <w:highlight w:val="none"/>
        </w:rPr>
      </w:r>
      <w:r/>
    </w:p>
    <w:p>
      <w:pPr>
        <w:pStyle w:val="906"/>
        <w:rPr>
          <w:rFonts w:hint="eastAsia"/>
          <w:color w:val="auto"/>
          <w:highlight w:val="none"/>
        </w:rPr>
      </w:pPr>
      <w:r>
        <w:rPr>
          <w:rFonts w:hint="eastAsia"/>
          <w:color w:val="auto"/>
          <w:highlight w:val="none"/>
        </w:rPr>
      </w:r>
      <w:r>
        <w:rPr>
          <w:color w:val="auto"/>
          <w:highlight w:val="none"/>
        </w:rPr>
      </w:r>
      <w:r/>
    </w:p>
    <w:p>
      <w:pPr>
        <w:pStyle w:val="908"/>
        <w:rPr>
          <w:rFonts w:hint="eastAsia"/>
          <w:color w:val="auto"/>
          <w:highlight w:val="none"/>
        </w:rPr>
      </w:pPr>
      <w:r>
        <w:rPr>
          <w:rFonts w:hint="eastAsia"/>
          <w:color w:val="auto"/>
          <w:highlight w:val="none"/>
        </w:rPr>
      </w:r>
      <w:r>
        <w:rPr>
          <w:color w:val="auto"/>
          <w:highlight w:val="none"/>
        </w:rPr>
      </w:r>
      <w:r/>
    </w:p>
    <w:p>
      <w:pPr>
        <w:pStyle w:val="908"/>
        <w:rPr>
          <w:rFonts w:hint="eastAsia"/>
          <w:color w:val="auto"/>
          <w:highlight w:val="none"/>
        </w:rPr>
      </w:pPr>
      <w:r>
        <w:rPr>
          <w:rFonts w:hint="eastAsia"/>
          <w:color w:val="auto"/>
          <w:highlight w:val="none"/>
        </w:rPr>
      </w:r>
      <w:r>
        <w:rPr>
          <w:color w:val="auto"/>
          <w:highlight w:val="none"/>
        </w:rPr>
      </w:r>
      <w:r/>
    </w:p>
    <w:p>
      <w:pPr>
        <w:pStyle w:val="908"/>
        <w:rPr>
          <w:rFonts w:hint="eastAsia"/>
          <w:color w:val="auto"/>
          <w:highlight w:val="none"/>
        </w:rPr>
      </w:pPr>
      <w:r>
        <w:rPr>
          <w:rFonts w:hint="eastAsia"/>
          <w:color w:val="auto"/>
          <w:highlight w:val="none"/>
        </w:rPr>
      </w:r>
      <w:r>
        <w:rPr>
          <w:color w:val="auto"/>
          <w:highlight w:val="none"/>
        </w:rPr>
      </w:r>
      <w:r/>
    </w:p>
    <w:p>
      <w:pPr>
        <w:pStyle w:val="908"/>
        <w:rPr>
          <w:rFonts w:hint="eastAsia"/>
          <w:color w:val="auto"/>
          <w:highlight w:val="none"/>
        </w:rPr>
      </w:pPr>
      <w:r>
        <w:rPr>
          <w:rFonts w:hint="eastAsia"/>
          <w:color w:val="auto"/>
          <w:highlight w:val="none"/>
        </w:rPr>
      </w:r>
      <w:r>
        <w:rPr>
          <w:color w:val="auto"/>
          <w:highlight w:val="none"/>
        </w:rPr>
      </w:r>
      <w:r/>
    </w:p>
    <w:p>
      <w:pPr>
        <w:pStyle w:val="908"/>
        <w:rPr>
          <w:rFonts w:hint="eastAsia"/>
          <w:color w:val="auto"/>
          <w:highlight w:val="none"/>
        </w:rPr>
      </w:pPr>
      <w:r>
        <w:rPr>
          <w:rFonts w:hint="eastAsia"/>
          <w:color w:val="auto"/>
          <w:highlight w:val="none"/>
        </w:rPr>
      </w:r>
      <w:r>
        <w:rPr>
          <w:color w:val="auto"/>
          <w:highlight w:val="none"/>
        </w:rPr>
      </w:r>
      <w:r/>
    </w:p>
    <w:p>
      <w:pPr>
        <w:pStyle w:val="908"/>
        <w:rPr>
          <w:rFonts w:hint="eastAsia"/>
          <w:color w:val="auto"/>
          <w:highlight w:val="none"/>
        </w:rPr>
      </w:pPr>
      <w:r>
        <w:rPr>
          <w:rFonts w:hint="eastAsia"/>
          <w:color w:val="auto"/>
          <w:highlight w:val="none"/>
        </w:rPr>
      </w:r>
      <w:r>
        <w:rPr>
          <w:rFonts w:hint="eastAsia"/>
          <w:color w:val="auto"/>
          <w:highlight w:val="none"/>
        </w:rPr>
      </w:r>
      <w:r/>
    </w:p>
    <w:p>
      <w:pPr>
        <w:pStyle w:val="908"/>
        <w:rPr>
          <w:rFonts w:hint="eastAsia"/>
          <w:color w:val="auto"/>
          <w:highlight w:val="none"/>
        </w:rPr>
      </w:pPr>
      <w:r>
        <w:rPr>
          <w:rFonts w:hint="eastAsia"/>
          <w:color w:val="auto"/>
          <w:highlight w:val="none"/>
        </w:rPr>
      </w:r>
      <w:r>
        <w:rPr>
          <w:rFonts w:hint="eastAsia"/>
          <w:color w:val="auto"/>
          <w:highlight w:val="none"/>
        </w:rPr>
      </w:r>
      <w:r/>
    </w:p>
    <w:p>
      <w:pPr>
        <w:pStyle w:val="908"/>
        <w:rPr>
          <w:rFonts w:hint="eastAsia"/>
          <w:color w:val="auto"/>
          <w:highlight w:val="none"/>
        </w:rPr>
      </w:pPr>
      <w:r>
        <w:rPr>
          <w:rFonts w:hint="eastAsia"/>
          <w:color w:val="auto"/>
          <w:highlight w:val="none"/>
        </w:rPr>
      </w:r>
      <w:r>
        <w:rPr>
          <w:rFonts w:hint="eastAsia"/>
          <w:color w:val="auto"/>
          <w:highlight w:val="none"/>
        </w:rPr>
      </w:r>
      <w:r/>
    </w:p>
    <w:p>
      <w:pPr>
        <w:pStyle w:val="908"/>
        <w:rPr>
          <w:rFonts w:hint="eastAsia"/>
          <w:color w:val="auto"/>
          <w:highlight w:val="none"/>
        </w:rPr>
      </w:pPr>
      <w:r>
        <w:rPr>
          <w:rFonts w:hint="eastAsia"/>
          <w:color w:val="auto"/>
          <w:highlight w:val="none"/>
        </w:rPr>
      </w:r>
      <w:r>
        <w:rPr>
          <w:rFonts w:hint="eastAsia"/>
          <w:color w:val="auto"/>
          <w:highlight w:val="none"/>
        </w:rPr>
      </w:r>
      <w:r/>
    </w:p>
    <w:p>
      <w:pPr>
        <w:pStyle w:val="908"/>
        <w:rPr>
          <w:rFonts w:hint="eastAsia"/>
          <w:color w:val="auto"/>
          <w:highlight w:val="none"/>
        </w:rPr>
      </w:pPr>
      <w:r>
        <w:rPr>
          <w:rFonts w:hint="eastAsia"/>
          <w:color w:val="auto"/>
          <w:highlight w:val="none"/>
        </w:rPr>
      </w:r>
      <w:r>
        <w:rPr>
          <w:color w:val="auto"/>
          <w:highlight w:val="none"/>
        </w:rPr>
      </w:r>
      <w:r/>
    </w:p>
    <w:p>
      <w:pPr>
        <w:pStyle w:val="908"/>
        <w:rPr>
          <w:rFonts w:hint="eastAsia"/>
          <w:color w:val="auto"/>
          <w:highlight w:val="none"/>
        </w:rPr>
      </w:pPr>
      <w:r>
        <w:rPr>
          <w:rFonts w:hint="eastAsia"/>
          <w:color w:val="auto"/>
          <w:highlight w:val="none"/>
        </w:rPr>
      </w:r>
      <w:r>
        <w:rPr>
          <w:color w:val="auto"/>
          <w:highlight w:val="none"/>
        </w:rPr>
      </w:r>
      <w:r/>
    </w:p>
    <w:p>
      <w:pPr>
        <w:pStyle w:val="873"/>
        <w:jc w:val="center"/>
        <w:spacing w:line="480" w:lineRule="auto"/>
        <w:rPr>
          <w:rFonts w:hint="eastAsia" w:ascii="黑体" w:hAnsi="Arial" w:eastAsia="黑体"/>
          <w:b/>
          <w:color w:val="auto"/>
          <w:sz w:val="44"/>
          <w:highlight w:val="none"/>
        </w:rPr>
        <w:outlineLvl w:val="0"/>
      </w:pPr>
      <w:r>
        <w:rPr>
          <w:rFonts w:hint="eastAsia" w:ascii="黑体" w:hAnsi="Arial" w:eastAsia="黑体"/>
          <w:b/>
          <w:color w:val="auto"/>
          <w:sz w:val="44"/>
          <w:highlight w:val="none"/>
        </w:rPr>
        <w:t xml:space="preserve">总  目  录</w:t>
      </w:r>
      <w:r>
        <w:rPr>
          <w:color w:val="auto"/>
          <w:highlight w:val="none"/>
        </w:rPr>
      </w:r>
      <w:r/>
    </w:p>
    <w:p>
      <w:pPr>
        <w:pStyle w:val="873"/>
        <w:spacing w:line="480" w:lineRule="auto"/>
        <w:rPr>
          <w:rFonts w:hint="eastAsia" w:ascii="仿宋_GB2312" w:hAnsi="Arial" w:eastAsia="仿宋_GB2312"/>
          <w:b/>
          <w:color w:val="auto"/>
          <w:sz w:val="28"/>
          <w:highlight w:val="none"/>
        </w:rPr>
      </w:pPr>
      <w:r>
        <w:rPr>
          <w:rFonts w:hint="eastAsia" w:ascii="仿宋_GB2312" w:hAnsi="Arial" w:eastAsia="仿宋_GB2312"/>
          <w:b/>
          <w:color w:val="auto"/>
          <w:sz w:val="28"/>
          <w:highlight w:val="none"/>
        </w:rPr>
      </w:r>
      <w:r>
        <w:rPr>
          <w:color w:val="auto"/>
          <w:highlight w:val="none"/>
        </w:rPr>
      </w:r>
      <w:r/>
    </w:p>
    <w:p>
      <w:pPr>
        <w:pStyle w:val="873"/>
        <w:numPr>
          <w:ilvl w:val="0"/>
          <w:numId w:val="4"/>
        </w:numPr>
        <w:jc w:val="center"/>
        <w:spacing w:line="960" w:lineRule="auto"/>
        <w:tabs>
          <w:tab w:val="left" w:pos="1440" w:leader="none"/>
        </w:tabs>
        <w:rPr>
          <w:rFonts w:hint="eastAsia" w:ascii="黑体" w:hAnsi="宋体" w:eastAsia="黑体"/>
          <w:color w:val="auto"/>
          <w:sz w:val="36"/>
          <w:highlight w:val="none"/>
        </w:rPr>
        <w:outlineLvl w:val="1"/>
      </w:pPr>
      <w:r>
        <w:rPr>
          <w:rFonts w:hint="eastAsia" w:ascii="黑体" w:hAnsi="宋体" w:eastAsia="黑体"/>
          <w:color w:val="auto"/>
          <w:sz w:val="36"/>
          <w:highlight w:val="none"/>
        </w:rPr>
        <w:t xml:space="preserve">投标邀请…………………………………… </w:t>
      </w:r>
      <w:r>
        <w:rPr>
          <w:color w:val="auto"/>
          <w:highlight w:val="none"/>
        </w:rPr>
      </w:r>
      <w:r/>
    </w:p>
    <w:p>
      <w:pPr>
        <w:pStyle w:val="873"/>
        <w:numPr>
          <w:ilvl w:val="0"/>
          <w:numId w:val="4"/>
        </w:numPr>
        <w:jc w:val="center"/>
        <w:spacing w:line="960" w:lineRule="auto"/>
        <w:tabs>
          <w:tab w:val="left" w:pos="1440" w:leader="none"/>
        </w:tabs>
        <w:rPr>
          <w:rFonts w:hint="eastAsia" w:ascii="黑体" w:hAnsi="宋体" w:eastAsia="黑体"/>
          <w:color w:val="auto"/>
          <w:sz w:val="36"/>
          <w:highlight w:val="none"/>
        </w:rPr>
        <w:outlineLvl w:val="1"/>
      </w:pPr>
      <w:r>
        <w:rPr>
          <w:rFonts w:hint="eastAsia" w:ascii="黑体" w:hAnsi="宋体" w:eastAsia="黑体"/>
          <w:color w:val="auto"/>
          <w:sz w:val="36"/>
          <w:highlight w:val="none"/>
        </w:rPr>
        <w:t xml:space="preserve">投标人须知………………………………… </w:t>
      </w:r>
      <w:r>
        <w:rPr>
          <w:color w:val="auto"/>
          <w:highlight w:val="none"/>
        </w:rPr>
      </w:r>
      <w:r/>
    </w:p>
    <w:p>
      <w:pPr>
        <w:pStyle w:val="873"/>
        <w:numPr>
          <w:ilvl w:val="0"/>
          <w:numId w:val="4"/>
        </w:numPr>
        <w:jc w:val="center"/>
        <w:spacing w:line="960" w:lineRule="auto"/>
        <w:tabs>
          <w:tab w:val="left" w:pos="1440" w:leader="none"/>
        </w:tabs>
        <w:rPr>
          <w:rFonts w:hint="eastAsia" w:ascii="黑体" w:hAnsi="宋体" w:eastAsia="黑体"/>
          <w:color w:val="auto"/>
          <w:sz w:val="36"/>
          <w:highlight w:val="none"/>
        </w:rPr>
        <w:outlineLvl w:val="1"/>
      </w:pPr>
      <w:r>
        <w:rPr>
          <w:rFonts w:hint="eastAsia" w:ascii="黑体" w:hAnsi="宋体" w:eastAsia="黑体"/>
          <w:color w:val="auto"/>
          <w:sz w:val="36"/>
          <w:highlight w:val="none"/>
        </w:rPr>
        <w:t xml:space="preserve">合同文本……………………………………</w:t>
      </w:r>
      <w:r>
        <w:rPr>
          <w:color w:val="auto"/>
          <w:highlight w:val="none"/>
        </w:rPr>
      </w:r>
      <w:r/>
    </w:p>
    <w:p>
      <w:pPr>
        <w:pStyle w:val="873"/>
        <w:numPr>
          <w:ilvl w:val="0"/>
          <w:numId w:val="4"/>
        </w:numPr>
        <w:jc w:val="center"/>
        <w:spacing w:line="960" w:lineRule="auto"/>
        <w:tabs>
          <w:tab w:val="left" w:pos="1440" w:leader="none"/>
        </w:tabs>
        <w:rPr>
          <w:rFonts w:hint="eastAsia" w:ascii="黑体" w:hAnsi="宋体" w:eastAsia="黑体"/>
          <w:color w:val="auto"/>
          <w:sz w:val="36"/>
          <w:highlight w:val="none"/>
        </w:rPr>
        <w:outlineLvl w:val="1"/>
      </w:pPr>
      <w:r>
        <w:rPr>
          <w:rFonts w:hint="eastAsia" w:ascii="黑体" w:hAnsi="宋体" w:eastAsia="黑体"/>
          <w:color w:val="auto"/>
          <w:sz w:val="36"/>
          <w:highlight w:val="none"/>
        </w:rPr>
        <w:t xml:space="preserve">采购需求……………………………………</w:t>
      </w:r>
      <w:r>
        <w:rPr>
          <w:color w:val="auto"/>
          <w:highlight w:val="none"/>
        </w:rPr>
      </w:r>
      <w:r/>
    </w:p>
    <w:p>
      <w:pPr>
        <w:pStyle w:val="873"/>
        <w:numPr>
          <w:ilvl w:val="0"/>
          <w:numId w:val="4"/>
        </w:numPr>
        <w:jc w:val="center"/>
        <w:spacing w:line="960" w:lineRule="auto"/>
        <w:tabs>
          <w:tab w:val="left" w:pos="1440" w:leader="none"/>
        </w:tabs>
        <w:rPr>
          <w:rFonts w:hint="eastAsia" w:ascii="黑体" w:hAnsi="宋体" w:eastAsia="黑体"/>
          <w:color w:val="auto"/>
          <w:sz w:val="36"/>
          <w:highlight w:val="none"/>
        </w:rPr>
        <w:outlineLvl w:val="1"/>
      </w:pPr>
      <w:r>
        <w:rPr>
          <w:rFonts w:hint="eastAsia" w:ascii="黑体" w:hAnsi="宋体" w:eastAsia="黑体"/>
          <w:color w:val="auto"/>
          <w:sz w:val="36"/>
          <w:highlight w:val="none"/>
        </w:rPr>
        <w:t xml:space="preserve">评标方法与评标标准………………………</w:t>
      </w:r>
      <w:r>
        <w:rPr>
          <w:color w:val="auto"/>
          <w:highlight w:val="none"/>
        </w:rPr>
      </w:r>
      <w:r/>
    </w:p>
    <w:p>
      <w:pPr>
        <w:pStyle w:val="873"/>
        <w:numPr>
          <w:ilvl w:val="0"/>
          <w:numId w:val="4"/>
        </w:numPr>
        <w:jc w:val="center"/>
        <w:spacing w:line="960" w:lineRule="auto"/>
        <w:tabs>
          <w:tab w:val="left" w:pos="1440" w:leader="none"/>
        </w:tabs>
        <w:rPr>
          <w:rFonts w:hint="eastAsia" w:ascii="黑体" w:hAnsi="宋体" w:eastAsia="黑体"/>
          <w:color w:val="auto"/>
          <w:sz w:val="36"/>
          <w:highlight w:val="none"/>
        </w:rPr>
        <w:outlineLvl w:val="1"/>
      </w:pPr>
      <w:r>
        <w:rPr>
          <w:rFonts w:hint="eastAsia" w:ascii="黑体" w:hAnsi="宋体" w:eastAsia="黑体"/>
          <w:color w:val="auto"/>
          <w:sz w:val="36"/>
          <w:highlight w:val="none"/>
        </w:rPr>
        <w:t xml:space="preserve">投标文件格式………………………………</w:t>
      </w:r>
      <w:r>
        <w:rPr>
          <w:color w:val="auto"/>
          <w:highlight w:val="none"/>
        </w:rPr>
      </w:r>
      <w:r/>
    </w:p>
    <w:p>
      <w:pPr>
        <w:pStyle w:val="873"/>
        <w:rPr>
          <w:rFonts w:hint="eastAsia"/>
          <w:color w:val="auto"/>
          <w:highlight w:val="none"/>
        </w:rPr>
      </w:pPr>
      <w:r>
        <w:rPr>
          <w:rFonts w:hint="eastAsia"/>
          <w:color w:val="auto"/>
          <w:highlight w:val="none"/>
        </w:rPr>
      </w:r>
      <w:r>
        <w:rPr>
          <w:color w:val="auto"/>
          <w:highlight w:val="none"/>
        </w:rPr>
      </w:r>
      <w:r/>
    </w:p>
    <w:p>
      <w:pPr>
        <w:pStyle w:val="873"/>
        <w:rPr>
          <w:rFonts w:hint="eastAsia"/>
          <w:color w:val="auto"/>
          <w:highlight w:val="none"/>
        </w:rPr>
      </w:pPr>
      <w:r>
        <w:rPr>
          <w:rFonts w:hint="eastAsia"/>
          <w:color w:val="auto"/>
          <w:highlight w:val="none"/>
        </w:rPr>
      </w:r>
      <w:r>
        <w:rPr>
          <w:color w:val="auto"/>
          <w:highlight w:val="none"/>
        </w:rPr>
      </w:r>
      <w:r/>
    </w:p>
    <w:p>
      <w:pPr>
        <w:pStyle w:val="873"/>
        <w:rPr>
          <w:rFonts w:hint="eastAsia"/>
          <w:color w:val="auto"/>
          <w:highlight w:val="none"/>
        </w:rPr>
      </w:pPr>
      <w:r>
        <w:rPr>
          <w:rFonts w:hint="eastAsia"/>
          <w:color w:val="auto"/>
          <w:highlight w:val="none"/>
        </w:rPr>
      </w:r>
      <w:r>
        <w:rPr>
          <w:color w:val="auto"/>
          <w:highlight w:val="none"/>
        </w:rPr>
      </w:r>
      <w:r/>
    </w:p>
    <w:p>
      <w:pPr>
        <w:pStyle w:val="873"/>
        <w:jc w:val="center"/>
        <w:rPr>
          <w:rFonts w:hint="eastAsia" w:ascii="方正小标宋简体" w:hAnsi="方正小标宋简体" w:eastAsia="方正小标宋简体" w:cs="方正小标宋简体"/>
          <w:color w:val="auto"/>
          <w:sz w:val="36"/>
          <w:szCs w:val="36"/>
          <w:highlight w:val="none"/>
        </w:rPr>
        <w:outlineLvl w:val="0"/>
      </w:pPr>
      <w:r>
        <w:rPr>
          <w:rFonts w:hint="eastAsia"/>
          <w:color w:val="auto"/>
          <w:highlight w:val="none"/>
        </w:rPr>
        <w:br w:type="page" w:clear="all"/>
      </w:r>
      <w:r>
        <w:rPr>
          <w:rFonts w:hint="eastAsia" w:ascii="方正小标宋简体" w:hAnsi="方正小标宋简体" w:eastAsia="方正小标宋简体" w:cs="方正小标宋简体"/>
          <w:color w:val="auto"/>
          <w:sz w:val="36"/>
          <w:szCs w:val="36"/>
          <w:highlight w:val="none"/>
        </w:rPr>
        <w:t xml:space="preserve">第一章  </w:t>
      </w:r>
      <w:bookmarkEnd w:id="0"/>
      <w:r>
        <w:rPr>
          <w:rFonts w:hint="eastAsia" w:ascii="方正小标宋简体" w:hAnsi="方正小标宋简体" w:eastAsia="方正小标宋简体" w:cs="方正小标宋简体"/>
          <w:color w:val="auto"/>
          <w:sz w:val="36"/>
          <w:szCs w:val="36"/>
          <w:highlight w:val="none"/>
        </w:rPr>
        <w:t xml:space="preserve">投标邀请</w:t>
      </w:r>
      <w:r>
        <w:rPr>
          <w:color w:val="auto"/>
          <w:highlight w:val="none"/>
        </w:rPr>
      </w:r>
      <w:r/>
    </w:p>
    <w:p>
      <w:pPr>
        <w:pStyle w:val="873"/>
        <w:ind w:firstLine="480"/>
        <w:spacing w:line="252" w:lineRule="auto"/>
        <w:rPr>
          <w:rFonts w:hint="eastAsia" w:ascii="宋体" w:hAnsi="宋体"/>
          <w:color w:val="auto"/>
          <w:sz w:val="24"/>
          <w:szCs w:val="24"/>
          <w:highlight w:val="none"/>
        </w:rPr>
      </w:pPr>
      <w:r>
        <w:rPr>
          <w:color w:val="auto"/>
          <w:highlight w:val="none"/>
        </w:rPr>
      </w:r>
      <w:bookmarkStart w:id="6" w:name="_Toc35393621"/>
      <w:r>
        <w:rPr>
          <w:color w:val="auto"/>
          <w:highlight w:val="none"/>
        </w:rPr>
      </w:r>
      <w:bookmarkStart w:id="7" w:name="_Toc28359079"/>
      <w:r>
        <w:rPr>
          <w:color w:val="auto"/>
          <w:highlight w:val="none"/>
        </w:rPr>
      </w:r>
      <w:bookmarkStart w:id="8" w:name="_Toc38985263"/>
      <w:r>
        <w:rPr>
          <w:color w:val="auto"/>
          <w:highlight w:val="none"/>
        </w:rPr>
      </w:r>
      <w:bookmarkStart w:id="9" w:name="_Toc28359002"/>
      <w:r>
        <w:rPr>
          <w:color w:val="auto"/>
          <w:highlight w:val="none"/>
        </w:rPr>
      </w:r>
      <w:bookmarkStart w:id="10" w:name="_Toc35393790"/>
      <w:r>
        <w:rPr>
          <w:color w:val="auto"/>
          <w:highlight w:val="none"/>
        </w:rPr>
      </w:r>
      <w:bookmarkStart w:id="11" w:name="_Hlk24379207"/>
      <w:r>
        <w:rPr>
          <w:color w:val="auto"/>
          <w:highlight w:val="none"/>
        </w:rPr>
      </w:r>
      <w:r/>
    </w:p>
    <w:p>
      <w:pPr>
        <w:pStyle w:val="873"/>
        <w:ind w:firstLine="480"/>
        <w:spacing w:line="252" w:lineRule="auto"/>
        <w:rPr>
          <w:rFonts w:ascii="宋体" w:hAnsi="宋体"/>
          <w:color w:val="auto"/>
          <w:sz w:val="24"/>
          <w:szCs w:val="24"/>
          <w:highlight w:val="none"/>
        </w:rPr>
      </w:pPr>
      <w:r>
        <w:rPr>
          <w:rFonts w:hint="eastAsia" w:ascii="宋体" w:hAnsi="宋体"/>
          <w:color w:val="auto"/>
          <w:sz w:val="24"/>
          <w:szCs w:val="24"/>
          <w:highlight w:val="none"/>
        </w:rPr>
        <w:t xml:space="preserve">受</w:t>
      </w:r>
      <w:r>
        <w:rPr>
          <w:rFonts w:hint="eastAsia" w:ascii="宋体" w:hAnsi="宋体"/>
          <w:color w:val="auto"/>
          <w:sz w:val="24"/>
          <w:szCs w:val="24"/>
          <w:highlight w:val="none"/>
        </w:rPr>
        <w:t xml:space="preserve">南京六合经济开发区管理委员会</w:t>
      </w:r>
      <w:r>
        <w:rPr>
          <w:rFonts w:hint="eastAsia" w:ascii="宋体" w:hAnsi="宋体"/>
          <w:color w:val="auto"/>
          <w:sz w:val="24"/>
          <w:szCs w:val="24"/>
          <w:highlight w:val="none"/>
        </w:rPr>
        <w:t xml:space="preserve">（采购单位）委托，</w:t>
      </w:r>
      <w:r>
        <w:rPr>
          <w:rFonts w:hint="eastAsia" w:ascii="宋体" w:hAnsi="宋体"/>
          <w:color w:val="auto"/>
          <w:sz w:val="24"/>
          <w:szCs w:val="24"/>
          <w:highlight w:val="none"/>
          <w:lang w:eastAsia="zh-CN"/>
        </w:rPr>
        <w:t xml:space="preserve">南京市公共资源交易中心六合分中心</w:t>
      </w:r>
      <w:r>
        <w:rPr>
          <w:rFonts w:hint="eastAsia" w:ascii="宋体" w:hAnsi="宋体"/>
          <w:color w:val="auto"/>
          <w:sz w:val="24"/>
          <w:szCs w:val="24"/>
          <w:highlight w:val="none"/>
        </w:rPr>
        <w:t xml:space="preserve">（以下简称“交易中心”）就六合经济开发区2026-2027年度二片区绿化养护项目进行公开招标采购，欢迎符合条件的供应商投标。</w:t>
      </w:r>
      <w:r>
        <w:rPr>
          <w:color w:val="auto"/>
          <w:highlight w:val="none"/>
        </w:rPr>
      </w:r>
      <w:r/>
    </w:p>
    <w:p>
      <w:pPr>
        <w:pStyle w:val="876"/>
        <w:ind w:firstLine="465"/>
        <w:spacing w:before="145" w:after="145" w:line="252" w:lineRule="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一、项目基本情况</w:t>
      </w:r>
      <w:bookmarkEnd w:id="6"/>
      <w:r>
        <w:rPr>
          <w:color w:val="auto"/>
          <w:highlight w:val="none"/>
        </w:rPr>
      </w:r>
      <w:bookmarkEnd w:id="7"/>
      <w:r>
        <w:rPr>
          <w:color w:val="auto"/>
          <w:highlight w:val="none"/>
        </w:rPr>
      </w:r>
      <w:bookmarkEnd w:id="8"/>
      <w:r>
        <w:rPr>
          <w:color w:val="auto"/>
          <w:highlight w:val="none"/>
        </w:rPr>
      </w:r>
      <w:bookmarkEnd w:id="9"/>
      <w:r>
        <w:rPr>
          <w:color w:val="auto"/>
          <w:highlight w:val="none"/>
        </w:rPr>
      </w:r>
      <w:bookmarkEnd w:id="10"/>
      <w:r>
        <w:rPr>
          <w:color w:val="auto"/>
          <w:highlight w:val="none"/>
        </w:rPr>
      </w:r>
      <w:r/>
    </w:p>
    <w:p>
      <w:pPr>
        <w:pStyle w:val="873"/>
        <w:ind w:firstLine="480"/>
        <w:spacing w:line="252" w:lineRule="auto"/>
        <w:rPr>
          <w:rFonts w:ascii="宋体" w:hAnsi="宋体"/>
          <w:color w:val="auto"/>
          <w:sz w:val="24"/>
          <w:szCs w:val="24"/>
          <w:highlight w:val="none"/>
        </w:rPr>
      </w:pPr>
      <w:r>
        <w:rPr>
          <w:color w:val="auto"/>
          <w:highlight w:val="none"/>
        </w:rPr>
      </w:r>
      <w:bookmarkEnd w:id="11"/>
      <w:r>
        <w:rPr>
          <w:rFonts w:hint="eastAsia" w:ascii="宋体" w:hAnsi="宋体"/>
          <w:color w:val="auto"/>
          <w:sz w:val="24"/>
          <w:szCs w:val="24"/>
          <w:highlight w:val="none"/>
        </w:rPr>
        <w:t xml:space="preserve">1.项目编号：JSZC-320116-JZCG-G2026-0017 </w:t>
      </w:r>
      <w:r>
        <w:rPr>
          <w:color w:val="auto"/>
          <w:highlight w:val="none"/>
        </w:rPr>
      </w:r>
      <w:r/>
    </w:p>
    <w:p>
      <w:pPr>
        <w:pStyle w:val="873"/>
        <w:ind w:firstLine="480"/>
        <w:spacing w:line="252"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2.项目名称：六合经济开发区2026-2027年度二片区绿化养护项目</w:t>
      </w:r>
      <w:r>
        <w:rPr>
          <w:color w:val="auto"/>
          <w:highlight w:val="none"/>
        </w:rPr>
      </w:r>
      <w:r/>
    </w:p>
    <w:p>
      <w:pPr>
        <w:pStyle w:val="873"/>
        <w:ind w:firstLine="480"/>
        <w:spacing w:line="252"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3.预算金额：</w:t>
      </w:r>
      <w:r>
        <w:rPr>
          <w:rFonts w:hint="eastAsia" w:ascii="宋体" w:hAnsi="宋体" w:eastAsia="宋体" w:cs="Times New Roman"/>
          <w:color w:val="auto"/>
          <w:sz w:val="24"/>
          <w:szCs w:val="24"/>
          <w:highlight w:val="none"/>
          <w:lang w:val="en-US" w:eastAsia="zh-CN"/>
        </w:rPr>
        <w:t xml:space="preserve">580</w:t>
      </w:r>
      <w:r>
        <w:rPr>
          <w:rFonts w:hint="eastAsia" w:ascii="宋体" w:hAnsi="宋体" w:eastAsia="宋体" w:cs="Times New Roman"/>
          <w:color w:val="auto"/>
          <w:sz w:val="24"/>
          <w:szCs w:val="24"/>
          <w:highlight w:val="none"/>
        </w:rPr>
        <w:t xml:space="preserve">万元/年</w:t>
      </w:r>
      <w:r>
        <w:rPr>
          <w:color w:val="auto"/>
          <w:highlight w:val="none"/>
        </w:rPr>
      </w:r>
      <w:r/>
    </w:p>
    <w:p>
      <w:pPr>
        <w:pStyle w:val="873"/>
        <w:ind w:firstLine="480"/>
        <w:spacing w:line="252" w:lineRule="auto"/>
        <w:rPr>
          <w:rFonts w:hint="eastAsia" w:ascii="宋体" w:hAnsi="宋体" w:cs="宋体"/>
          <w:color w:val="auto"/>
          <w:sz w:val="24"/>
          <w:szCs w:val="24"/>
          <w:highlight w:val="none"/>
        </w:rPr>
      </w:pPr>
      <w:r>
        <w:rPr>
          <w:rFonts w:hint="eastAsia" w:ascii="宋体" w:hAnsi="宋体" w:eastAsia="宋体" w:cs="Times New Roman"/>
          <w:color w:val="auto"/>
          <w:sz w:val="24"/>
          <w:szCs w:val="24"/>
          <w:highlight w:val="none"/>
        </w:rPr>
        <w:t xml:space="preserve">4.最高限价：</w:t>
      </w:r>
      <w:r>
        <w:rPr>
          <w:rFonts w:hint="eastAsia" w:ascii="宋体" w:hAnsi="宋体" w:eastAsia="宋体" w:cs="Times New Roman"/>
          <w:color w:val="auto"/>
          <w:sz w:val="24"/>
          <w:szCs w:val="24"/>
          <w:highlight w:val="none"/>
          <w:lang w:val="en-US" w:eastAsia="zh-CN"/>
        </w:rPr>
        <w:t xml:space="preserve">539.96</w:t>
      </w:r>
      <w:r>
        <w:rPr>
          <w:rFonts w:hint="eastAsia" w:ascii="宋体" w:hAnsi="宋体" w:eastAsia="宋体" w:cs="Times New Roman"/>
          <w:color w:val="auto"/>
          <w:sz w:val="24"/>
          <w:szCs w:val="24"/>
          <w:highlight w:val="none"/>
        </w:rPr>
        <w:t xml:space="preserve">万元/年</w:t>
      </w:r>
      <w:r>
        <w:rPr>
          <w:color w:val="auto"/>
          <w:highlight w:val="none"/>
        </w:rPr>
      </w:r>
      <w:r/>
    </w:p>
    <w:p>
      <w:pPr>
        <w:pStyle w:val="873"/>
        <w:ind w:firstLine="480"/>
        <w:spacing w:line="252" w:lineRule="auto"/>
        <w:rPr>
          <w:rFonts w:ascii="宋体" w:hAnsi="宋体"/>
          <w:color w:val="auto"/>
          <w:sz w:val="24"/>
          <w:szCs w:val="24"/>
          <w:highlight w:val="none"/>
          <w:u w:val="single"/>
        </w:rPr>
      </w:pPr>
      <w:r>
        <w:rPr>
          <w:rFonts w:hint="eastAsia" w:ascii="宋体" w:hAnsi="宋体"/>
          <w:color w:val="auto"/>
          <w:sz w:val="24"/>
          <w:szCs w:val="24"/>
          <w:highlight w:val="none"/>
        </w:rPr>
        <w:t xml:space="preserve">5.采购需求（简介）：</w:t>
      </w:r>
      <w:r>
        <w:rPr>
          <w:rFonts w:hint="eastAsia" w:ascii="宋体" w:hAnsi="宋体"/>
          <w:color w:val="auto"/>
          <w:sz w:val="24"/>
          <w:szCs w:val="24"/>
          <w:highlight w:val="none"/>
          <w:lang w:val="en-US" w:eastAsia="zh-CN"/>
        </w:rPr>
        <w:t xml:space="preserve">园区绿地管养、行道树管养、四季草花管养、硬质景观设施维护等维护</w:t>
      </w:r>
      <w:r>
        <w:rPr>
          <w:rFonts w:hint="eastAsia" w:ascii="宋体" w:hAnsi="宋体"/>
          <w:color w:val="auto"/>
          <w:sz w:val="24"/>
          <w:szCs w:val="24"/>
          <w:highlight w:val="none"/>
        </w:rPr>
        <w:t xml:space="preserve">。</w:t>
      </w:r>
      <w:r>
        <w:rPr>
          <w:rFonts w:hint="eastAsia" w:ascii="宋体" w:hAnsi="宋体" w:cs="宋体"/>
          <w:color w:val="auto"/>
          <w:sz w:val="24"/>
          <w:szCs w:val="24"/>
          <w:highlight w:val="none"/>
        </w:rPr>
        <w:t xml:space="preserve">（详细内容见本招标文件第四章） </w:t>
      </w:r>
      <w:r>
        <w:rPr>
          <w:color w:val="auto"/>
          <w:highlight w:val="none"/>
        </w:rPr>
      </w:r>
      <w:r/>
    </w:p>
    <w:p>
      <w:pPr>
        <w:pStyle w:val="873"/>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6.合同履行期限：</w:t>
      </w:r>
      <w:r>
        <w:rPr>
          <w:color w:val="auto"/>
          <w:highlight w:val="none"/>
        </w:rPr>
      </w:r>
      <w:r/>
    </w:p>
    <w:p>
      <w:pPr>
        <w:pStyle w:val="873"/>
        <w:ind w:firstLine="480"/>
        <w:spacing w:line="252"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（1）合同服务期一年。一年合同期满后，经采购人考核，达到续签标准并经甲乙双方同意后可续签合同，采用一年一续签方式</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最多可续签两次</w:t>
      </w:r>
      <w:r>
        <w:rPr>
          <w:rFonts w:hint="eastAsia" w:ascii="宋体" w:hAnsi="宋体" w:eastAsia="宋体" w:cs="Times New Roman"/>
          <w:color w:val="auto"/>
          <w:sz w:val="24"/>
          <w:szCs w:val="24"/>
          <w:highlight w:val="none"/>
        </w:rPr>
        <w:t xml:space="preserve">。</w:t>
      </w:r>
      <w:r>
        <w:rPr>
          <w:color w:val="auto"/>
          <w:highlight w:val="none"/>
        </w:rPr>
      </w:r>
      <w:r/>
    </w:p>
    <w:p>
      <w:pPr>
        <w:pStyle w:val="873"/>
        <w:ind w:firstLine="480"/>
        <w:spacing w:line="252"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（2）续签考核标准：总考核成绩达</w:t>
      </w:r>
      <w:r>
        <w:rPr>
          <w:rFonts w:hint="eastAsia" w:ascii="宋体" w:hAnsi="宋体" w:eastAsia="宋体" w:cs="Times New Roman"/>
          <w:color w:val="auto"/>
          <w:sz w:val="24"/>
          <w:szCs w:val="24"/>
          <w:highlight w:val="none"/>
          <w:lang w:val="en-US" w:eastAsia="zh-CN"/>
        </w:rPr>
        <w:t xml:space="preserve">95</w:t>
      </w:r>
      <w:r>
        <w:rPr>
          <w:rFonts w:hint="eastAsia" w:ascii="宋体" w:hAnsi="宋体" w:eastAsia="宋体" w:cs="Times New Roman"/>
          <w:color w:val="auto"/>
          <w:sz w:val="24"/>
          <w:szCs w:val="24"/>
          <w:highlight w:val="none"/>
        </w:rPr>
        <w:t xml:space="preserve">分（含）以上。总考核成绩计算方式及考核方式按照《园林绿化养护管理考核评分细则》规定执行。</w:t>
      </w:r>
      <w:r>
        <w:rPr>
          <w:color w:val="auto"/>
          <w:highlight w:val="none"/>
        </w:rPr>
      </w:r>
      <w:r/>
    </w:p>
    <w:p>
      <w:pPr>
        <w:pStyle w:val="873"/>
        <w:ind w:firstLine="480"/>
        <w:spacing w:line="252"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（3）续签合同服务事项内容及要求条款按照本项目招标文件及合同所约定的条款执行。</w:t>
      </w:r>
      <w:r>
        <w:rPr>
          <w:color w:val="auto"/>
          <w:highlight w:val="none"/>
        </w:rPr>
      </w:r>
      <w:r/>
    </w:p>
    <w:p>
      <w:pPr>
        <w:pStyle w:val="873"/>
        <w:ind w:firstLine="480"/>
        <w:spacing w:line="252" w:lineRule="auto"/>
        <w:rPr>
          <w:rFonts w:hint="eastAsia" w:ascii="宋体" w:hAnsi="宋体" w:cs="宋体"/>
          <w:color w:val="auto"/>
          <w:sz w:val="24"/>
          <w:szCs w:val="24"/>
          <w:highlight w:val="none"/>
        </w:rPr>
      </w:pPr>
      <w:r>
        <w:rPr>
          <w:rFonts w:hint="eastAsia" w:ascii="宋体" w:hAnsi="宋体" w:eastAsia="宋体" w:cs="Times New Roman"/>
          <w:color w:val="auto"/>
          <w:sz w:val="24"/>
          <w:szCs w:val="24"/>
          <w:highlight w:val="none"/>
        </w:rPr>
        <w:t xml:space="preserve">（4）续签依据《政府购买服务管理办法》（财政部令第102号）第二十四条之规定。</w:t>
      </w:r>
      <w:r>
        <w:rPr>
          <w:color w:val="auto"/>
          <w:highlight w:val="none"/>
        </w:rPr>
      </w:r>
      <w:r/>
    </w:p>
    <w:p>
      <w:pPr>
        <w:pStyle w:val="873"/>
        <w:ind w:firstLine="480"/>
        <w:spacing w:line="252" w:lineRule="auto"/>
        <w:rPr>
          <w:rFonts w:hint="eastAsia" w:ascii="宋体" w:hAnsi="宋体" w:cs="宋体"/>
          <w:color w:val="auto"/>
          <w:sz w:val="24"/>
          <w:szCs w:val="24"/>
          <w:highlight w:val="none"/>
        </w:rPr>
      </w:pPr>
      <w:r>
        <w:rPr>
          <w:rFonts w:hint="eastAsia" w:ascii="宋体" w:hAnsi="宋体"/>
          <w:color w:val="auto"/>
          <w:sz w:val="24"/>
          <w:szCs w:val="24"/>
          <w:highlight w:val="none"/>
        </w:rPr>
        <w:t xml:space="preserve">7.</w:t>
      </w:r>
      <w:r>
        <w:rPr>
          <w:rFonts w:hint="eastAsia" w:ascii="宋体" w:hAnsi="宋体" w:cs="宋体"/>
          <w:color w:val="auto"/>
          <w:sz w:val="24"/>
          <w:szCs w:val="24"/>
          <w:highlight w:val="none"/>
        </w:rPr>
        <w:t xml:space="preserve">本项目不接受联合体投标。</w:t>
      </w:r>
      <w:r>
        <w:rPr>
          <w:color w:val="auto"/>
          <w:highlight w:val="none"/>
        </w:rPr>
      </w:r>
      <w:r/>
    </w:p>
    <w:p>
      <w:pPr>
        <w:pStyle w:val="873"/>
        <w:ind w:firstLine="480"/>
        <w:spacing w:line="252" w:lineRule="auto"/>
        <w:rPr>
          <w:rFonts w:hint="eastAsia"/>
          <w:color w:val="auto"/>
          <w:highlight w:val="none"/>
        </w:rPr>
      </w:pPr>
      <w:r>
        <w:rPr>
          <w:rFonts w:hint="eastAsia" w:ascii="宋体" w:hAnsi="宋体" w:cs="宋体"/>
          <w:color w:val="auto"/>
          <w:sz w:val="24"/>
          <w:szCs w:val="24"/>
          <w:highlight w:val="none"/>
        </w:rPr>
        <w:t xml:space="preserve">8.</w:t>
      </w:r>
      <w:r>
        <w:rPr>
          <w:rFonts w:hint="eastAsia" w:ascii="宋体" w:hAnsi="宋体"/>
          <w:color w:val="auto"/>
          <w:sz w:val="24"/>
          <w:szCs w:val="24"/>
          <w:highlight w:val="none"/>
        </w:rPr>
        <w:t xml:space="preserve">本项目不接受进口产品投标。</w:t>
      </w:r>
      <w:r>
        <w:rPr>
          <w:color w:val="auto"/>
          <w:highlight w:val="none"/>
        </w:rPr>
      </w:r>
      <w:r/>
    </w:p>
    <w:p>
      <w:pPr>
        <w:pStyle w:val="876"/>
        <w:ind w:firstLine="465"/>
        <w:spacing w:before="145" w:after="145" w:line="252" w:lineRule="auto"/>
        <w:rPr>
          <w:rFonts w:hint="eastAsia" w:ascii="方正黑体_GBK" w:hAnsi="方正黑体_GBK" w:eastAsia="方正黑体_GBK" w:cs="方正黑体_GBK"/>
          <w:b w:val="0"/>
          <w:bCs w:val="0"/>
          <w:color w:val="auto"/>
          <w:sz w:val="30"/>
          <w:szCs w:val="30"/>
          <w:highlight w:val="none"/>
        </w:rPr>
      </w:pPr>
      <w:r>
        <w:rPr>
          <w:color w:val="auto"/>
          <w:highlight w:val="none"/>
        </w:rPr>
      </w:r>
      <w:bookmarkStart w:id="12" w:name="_Toc28359080"/>
      <w:r>
        <w:rPr>
          <w:color w:val="auto"/>
          <w:highlight w:val="none"/>
        </w:rPr>
      </w:r>
      <w:bookmarkStart w:id="13" w:name="_Toc35393622"/>
      <w:r>
        <w:rPr>
          <w:color w:val="auto"/>
          <w:highlight w:val="none"/>
        </w:rPr>
      </w:r>
      <w:bookmarkStart w:id="14" w:name="_Toc28359003"/>
      <w:r>
        <w:rPr>
          <w:color w:val="auto"/>
          <w:highlight w:val="none"/>
        </w:rPr>
      </w:r>
      <w:bookmarkStart w:id="15" w:name="_Toc35393791"/>
      <w:r>
        <w:rPr>
          <w:color w:val="auto"/>
          <w:highlight w:val="none"/>
        </w:rPr>
      </w:r>
      <w:bookmarkStart w:id="16" w:name="_Toc38985264"/>
      <w:r>
        <w:rPr>
          <w:rFonts w:hint="eastAsia" w:ascii="方正黑体_GBK" w:hAnsi="方正黑体_GBK" w:eastAsia="方正黑体_GBK" w:cs="方正黑体_GBK"/>
          <w:b w:val="0"/>
          <w:bCs w:val="0"/>
          <w:color w:val="auto"/>
          <w:sz w:val="30"/>
          <w:szCs w:val="30"/>
          <w:highlight w:val="none"/>
        </w:rPr>
        <w:t xml:space="preserve">二、申请人的资格要求</w:t>
      </w:r>
      <w:bookmarkEnd w:id="12"/>
      <w:r>
        <w:rPr>
          <w:color w:val="auto"/>
          <w:highlight w:val="none"/>
        </w:rPr>
      </w:r>
      <w:bookmarkEnd w:id="13"/>
      <w:r>
        <w:rPr>
          <w:color w:val="auto"/>
          <w:highlight w:val="none"/>
        </w:rPr>
      </w:r>
      <w:bookmarkEnd w:id="14"/>
      <w:r>
        <w:rPr>
          <w:color w:val="auto"/>
          <w:highlight w:val="none"/>
        </w:rPr>
      </w:r>
      <w:bookmarkEnd w:id="15"/>
      <w:r>
        <w:rPr>
          <w:color w:val="auto"/>
          <w:highlight w:val="none"/>
        </w:rPr>
      </w:r>
      <w:bookmarkEnd w:id="16"/>
      <w:r>
        <w:rPr>
          <w:color w:val="auto"/>
          <w:highlight w:val="none"/>
        </w:rPr>
      </w:r>
      <w:r/>
    </w:p>
    <w:p>
      <w:pPr>
        <w:pStyle w:val="873"/>
        <w:ind w:firstLine="480"/>
        <w:spacing w:line="252" w:lineRule="auto"/>
        <w:rPr>
          <w:rFonts w:hint="eastAsia" w:ascii="宋体" w:hAnsi="宋体"/>
          <w:color w:val="auto"/>
          <w:sz w:val="24"/>
          <w:szCs w:val="24"/>
          <w:highlight w:val="none"/>
        </w:rPr>
      </w:pPr>
      <w:r>
        <w:rPr>
          <w:color w:val="auto"/>
          <w:highlight w:val="none"/>
        </w:rPr>
      </w:r>
      <w:bookmarkStart w:id="17" w:name="_Toc28359004"/>
      <w:r>
        <w:rPr>
          <w:color w:val="auto"/>
          <w:highlight w:val="none"/>
        </w:rPr>
      </w:r>
      <w:bookmarkStart w:id="18" w:name="_Toc35393792"/>
      <w:r>
        <w:rPr>
          <w:color w:val="auto"/>
          <w:highlight w:val="none"/>
        </w:rPr>
      </w:r>
      <w:bookmarkStart w:id="19" w:name="_Toc38985265"/>
      <w:r>
        <w:rPr>
          <w:color w:val="auto"/>
          <w:highlight w:val="none"/>
        </w:rPr>
      </w:r>
      <w:bookmarkStart w:id="20" w:name="_Toc28359081"/>
      <w:r>
        <w:rPr>
          <w:color w:val="auto"/>
          <w:highlight w:val="none"/>
        </w:rPr>
      </w:r>
      <w:bookmarkStart w:id="21" w:name="_Toc35393623"/>
      <w:r>
        <w:rPr>
          <w:rFonts w:hint="eastAsia" w:ascii="宋体" w:hAnsi="宋体"/>
          <w:color w:val="auto"/>
          <w:sz w:val="24"/>
          <w:szCs w:val="24"/>
          <w:highlight w:val="none"/>
        </w:rPr>
        <w:t xml:space="preserve">（一</w:t>
      </w:r>
      <w:r>
        <w:rPr>
          <w:rFonts w:ascii="宋体" w:hAnsi="宋体"/>
          <w:color w:val="auto"/>
          <w:sz w:val="24"/>
          <w:szCs w:val="24"/>
          <w:highlight w:val="none"/>
        </w:rPr>
        <w:t xml:space="preserve">）</w:t>
      </w:r>
      <w:r>
        <w:rPr>
          <w:rFonts w:hint="eastAsia" w:ascii="宋体" w:hAnsi="宋体"/>
          <w:color w:val="auto"/>
          <w:sz w:val="24"/>
          <w:szCs w:val="24"/>
          <w:highlight w:val="none"/>
        </w:rPr>
        <w:t xml:space="preserve">通用</w:t>
      </w:r>
      <w:r>
        <w:rPr>
          <w:rFonts w:ascii="宋体" w:hAnsi="宋体"/>
          <w:color w:val="auto"/>
          <w:sz w:val="24"/>
          <w:szCs w:val="24"/>
          <w:highlight w:val="none"/>
        </w:rPr>
        <w:t xml:space="preserve">资格要求</w:t>
      </w:r>
      <w:r>
        <w:rPr>
          <w:color w:val="auto"/>
          <w:highlight w:val="none"/>
        </w:rPr>
      </w:r>
      <w:r/>
    </w:p>
    <w:p>
      <w:pPr>
        <w:pStyle w:val="873"/>
        <w:ind w:firstLine="480"/>
        <w:spacing w:line="252" w:lineRule="auto"/>
        <w:rPr>
          <w:rFonts w:hint="eastAsia" w:ascii="宋体" w:hAnsi="宋体"/>
          <w:color w:val="auto"/>
          <w:sz w:val="24"/>
          <w:szCs w:val="24"/>
          <w:highlight w:val="none"/>
        </w:rPr>
      </w:pPr>
      <w:r>
        <w:rPr>
          <w:rFonts w:hint="eastAsia" w:ascii="宋体" w:hAnsi="宋体"/>
          <w:color w:val="auto"/>
          <w:sz w:val="24"/>
          <w:szCs w:val="24"/>
          <w:highlight w:val="none"/>
          <w:lang w:val="zh-CN"/>
        </w:rPr>
        <w:t xml:space="preserve">1.满足《中华人民共和国政府采购法》第二十二条规定，并提供下列材料：</w:t>
      </w:r>
      <w:r>
        <w:rPr>
          <w:color w:val="auto"/>
          <w:highlight w:val="none"/>
        </w:rPr>
      </w:r>
      <w:r/>
    </w:p>
    <w:p>
      <w:pPr>
        <w:pStyle w:val="873"/>
        <w:ind w:firstLine="480"/>
        <w:spacing w:line="252" w:lineRule="auto"/>
        <w:rPr>
          <w:rFonts w:hint="eastAsia" w:ascii="宋体" w:hAnsi="宋体"/>
          <w:color w:val="auto"/>
          <w:sz w:val="24"/>
          <w:szCs w:val="24"/>
          <w:highlight w:val="none"/>
        </w:rPr>
      </w:pPr>
      <w:r>
        <w:rPr>
          <w:rFonts w:hint="eastAsia" w:ascii="宋体" w:hAnsi="宋体"/>
          <w:color w:val="auto"/>
          <w:sz w:val="24"/>
          <w:szCs w:val="24"/>
          <w:highlight w:val="none"/>
        </w:rPr>
        <w:t xml:space="preserve">1.1</w:t>
      </w:r>
      <w:r>
        <w:rPr>
          <w:rFonts w:hint="eastAsia" w:ascii="宋体" w:hAnsi="宋体"/>
          <w:color w:val="auto"/>
          <w:sz w:val="24"/>
          <w:szCs w:val="24"/>
          <w:highlight w:val="none"/>
          <w:lang w:val="zh-CN"/>
        </w:rPr>
        <w:t xml:space="preserve">供应商信用承诺函（格式见第六章）。</w:t>
      </w:r>
      <w:r>
        <w:rPr>
          <w:color w:val="auto"/>
          <w:highlight w:val="none"/>
        </w:rPr>
      </w:r>
      <w:r/>
    </w:p>
    <w:p>
      <w:pPr>
        <w:pStyle w:val="873"/>
        <w:numPr>
          <w:ilvl w:val="0"/>
          <w:numId w:val="5"/>
        </w:numPr>
        <w:ind w:firstLine="480"/>
        <w:spacing w:line="440" w:lineRule="exact"/>
        <w:tabs>
          <w:tab w:val="left" w:pos="312" w:leader="none"/>
        </w:tabs>
        <w:rPr>
          <w:rFonts w:hint="eastAsia" w:ascii="宋体" w:hAnsi="宋体"/>
          <w:color w:val="auto"/>
          <w:sz w:val="24"/>
          <w:szCs w:val="24"/>
          <w:highlight w:val="none"/>
        </w:rPr>
      </w:pPr>
      <w:r>
        <w:rPr>
          <w:rFonts w:hint="eastAsia" w:ascii="宋体" w:hAnsi="宋体"/>
          <w:color w:val="auto"/>
          <w:sz w:val="24"/>
          <w:szCs w:val="24"/>
          <w:highlight w:val="none"/>
          <w:lang w:val="zh-CN"/>
        </w:rPr>
        <w:t xml:space="preserve">落实政府采购政策需满足的资格要求：</w:t>
      </w:r>
      <w:r>
        <w:rPr>
          <w:rFonts w:hint="eastAsia" w:ascii="宋体" w:hAnsi="宋体" w:eastAsia="宋体" w:cs="Times New Roman"/>
          <w:color w:val="auto"/>
          <w:sz w:val="24"/>
          <w:szCs w:val="24"/>
          <w:highlight w:val="none"/>
          <w:lang w:val="zh-CN"/>
        </w:rPr>
        <w:t xml:space="preserve">本项目专门面向中小微企业采购，供应商应为中小微企业或监狱企业或残疾人福利性单位。（格式见第六章）</w:t>
      </w:r>
      <w:r>
        <w:rPr>
          <w:color w:val="auto"/>
          <w:highlight w:val="none"/>
        </w:rPr>
      </w:r>
      <w:r/>
    </w:p>
    <w:p>
      <w:pPr>
        <w:pStyle w:val="873"/>
        <w:numPr>
          <w:ilvl w:val="0"/>
          <w:numId w:val="5"/>
        </w:numPr>
        <w:ind w:firstLine="480"/>
        <w:spacing w:line="440" w:lineRule="exact"/>
        <w:tabs>
          <w:tab w:val="left" w:pos="312"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在“信用中国”网站（www.creditchina.gov.cn）查询，不存在被列入失信被执行人、重大税收违法案件当事人名单、政府采购严重违法失信行为记录名单及其他不符合《中华人民共和国政府采购法》第二十二条规定条件的信用记录情形。（投标文件中无需提供证明材料）</w:t>
      </w:r>
      <w:r>
        <w:rPr>
          <w:color w:val="auto"/>
          <w:highlight w:val="none"/>
        </w:rPr>
      </w:r>
      <w:r/>
    </w:p>
    <w:p>
      <w:pPr>
        <w:pStyle w:val="942"/>
        <w:rPr>
          <w:rFonts w:hint="eastAsia"/>
          <w:color w:val="auto"/>
          <w:highlight w:val="none"/>
        </w:rPr>
      </w:pPr>
      <w:r>
        <w:rPr>
          <w:rFonts w:hint="eastAsia"/>
          <w:color w:val="auto"/>
          <w:highlight w:val="none"/>
        </w:rPr>
      </w:r>
      <w:r>
        <w:rPr>
          <w:color w:val="auto"/>
          <w:highlight w:val="none"/>
        </w:rPr>
      </w:r>
      <w:r/>
    </w:p>
    <w:p>
      <w:pPr>
        <w:pStyle w:val="873"/>
        <w:ind w:firstLine="480"/>
        <w:spacing w:line="252" w:lineRule="auto"/>
        <w:rPr>
          <w:rFonts w:hint="eastAsia" w:ascii="宋体" w:hAnsi="宋体"/>
          <w:color w:val="auto"/>
          <w:sz w:val="24"/>
          <w:szCs w:val="24"/>
          <w:highlight w:val="none"/>
        </w:rPr>
      </w:pPr>
      <w:r>
        <w:rPr>
          <w:rFonts w:hint="eastAsia" w:ascii="宋体" w:hAnsi="宋体"/>
          <w:color w:val="auto"/>
          <w:sz w:val="24"/>
          <w:szCs w:val="24"/>
          <w:highlight w:val="none"/>
        </w:rPr>
        <w:t xml:space="preserve">（二）本项目的特定资格要求：无</w:t>
      </w:r>
      <w:r>
        <w:rPr>
          <w:color w:val="auto"/>
          <w:highlight w:val="none"/>
        </w:rPr>
      </w:r>
      <w:r/>
    </w:p>
    <w:p>
      <w:pPr>
        <w:pStyle w:val="876"/>
        <w:ind w:firstLine="465"/>
        <w:spacing w:before="145" w:after="145" w:line="252" w:lineRule="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三、获取招标文件</w:t>
      </w:r>
      <w:bookmarkEnd w:id="17"/>
      <w:r>
        <w:rPr>
          <w:color w:val="auto"/>
          <w:highlight w:val="none"/>
        </w:rPr>
      </w:r>
      <w:bookmarkEnd w:id="18"/>
      <w:r>
        <w:rPr>
          <w:color w:val="auto"/>
          <w:highlight w:val="none"/>
        </w:rPr>
      </w:r>
      <w:bookmarkEnd w:id="19"/>
      <w:r>
        <w:rPr>
          <w:color w:val="auto"/>
          <w:highlight w:val="none"/>
        </w:rPr>
      </w:r>
      <w:bookmarkEnd w:id="20"/>
      <w:r>
        <w:rPr>
          <w:color w:val="auto"/>
          <w:highlight w:val="none"/>
        </w:rPr>
      </w:r>
      <w:bookmarkEnd w:id="21"/>
      <w:r>
        <w:rPr>
          <w:color w:val="auto"/>
          <w:highlight w:val="none"/>
        </w:rPr>
      </w:r>
      <w:r/>
    </w:p>
    <w:p>
      <w:pPr>
        <w:pStyle w:val="873"/>
        <w:ind w:firstLine="480"/>
        <w:spacing w:line="252" w:lineRule="auto"/>
        <w:rPr>
          <w:rFonts w:ascii="宋体" w:hAnsi="宋体" w:cs="宋体"/>
          <w:color w:val="auto"/>
          <w:sz w:val="24"/>
          <w:szCs w:val="24"/>
          <w:highlight w:val="none"/>
        </w:rPr>
      </w:pPr>
      <w:r>
        <w:rPr>
          <w:color w:val="auto"/>
          <w:highlight w:val="none"/>
        </w:rPr>
      </w:r>
      <w:bookmarkStart w:id="22" w:name="_Toc28359005"/>
      <w:r>
        <w:rPr>
          <w:color w:val="auto"/>
          <w:highlight w:val="none"/>
        </w:rPr>
      </w:r>
      <w:bookmarkStart w:id="23" w:name="_Toc28359082"/>
      <w:r>
        <w:rPr>
          <w:color w:val="auto"/>
          <w:highlight w:val="none"/>
        </w:rPr>
      </w:r>
      <w:bookmarkStart w:id="24" w:name="_Toc35393624"/>
      <w:r>
        <w:rPr>
          <w:color w:val="auto"/>
          <w:highlight w:val="none"/>
        </w:rPr>
      </w:r>
      <w:bookmarkStart w:id="25" w:name="_Toc35393793"/>
      <w:r>
        <w:rPr>
          <w:color w:val="auto"/>
          <w:highlight w:val="none"/>
        </w:rPr>
      </w:r>
      <w:bookmarkStart w:id="26" w:name="_Toc38985266"/>
      <w:r>
        <w:rPr>
          <w:rFonts w:hint="eastAsia" w:ascii="宋体" w:hAnsi="宋体" w:cs="宋体"/>
          <w:color w:val="auto"/>
          <w:sz w:val="24"/>
          <w:szCs w:val="24"/>
          <w:highlight w:val="none"/>
        </w:rPr>
        <w:t xml:space="preserve">1.时间：自招标文件公告发布之日起。</w:t>
      </w:r>
      <w:r>
        <w:rPr>
          <w:color w:val="auto"/>
          <w:highlight w:val="none"/>
        </w:rPr>
      </w:r>
      <w:r/>
    </w:p>
    <w:p>
      <w:pPr>
        <w:pStyle w:val="873"/>
        <w:ind w:firstLine="480"/>
        <w:spacing w:line="252"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2.方式：在“江苏政府采购网”免费下载。</w:t>
      </w:r>
      <w:r>
        <w:rPr>
          <w:color w:val="auto"/>
          <w:highlight w:val="none"/>
        </w:rPr>
      </w:r>
      <w:r/>
    </w:p>
    <w:p>
      <w:pPr>
        <w:pStyle w:val="876"/>
        <w:ind w:firstLine="465"/>
        <w:spacing w:before="145" w:after="145" w:line="252" w:lineRule="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四、提交投标文件</w:t>
      </w:r>
      <w:bookmarkEnd w:id="22"/>
      <w:r>
        <w:rPr>
          <w:color w:val="auto"/>
          <w:highlight w:val="none"/>
        </w:rPr>
      </w:r>
      <w:bookmarkEnd w:id="23"/>
      <w:r>
        <w:rPr>
          <w:rFonts w:hint="eastAsia" w:ascii="方正黑体_GBK" w:hAnsi="方正黑体_GBK" w:eastAsia="方正黑体_GBK" w:cs="方正黑体_GBK"/>
          <w:b w:val="0"/>
          <w:bCs w:val="0"/>
          <w:color w:val="auto"/>
          <w:sz w:val="30"/>
          <w:szCs w:val="30"/>
          <w:highlight w:val="none"/>
        </w:rPr>
        <w:t xml:space="preserve">截止时间、开标时间和地点</w:t>
      </w:r>
      <w:bookmarkEnd w:id="24"/>
      <w:r>
        <w:rPr>
          <w:color w:val="auto"/>
          <w:highlight w:val="none"/>
        </w:rPr>
      </w:r>
      <w:bookmarkEnd w:id="25"/>
      <w:r>
        <w:rPr>
          <w:color w:val="auto"/>
          <w:highlight w:val="none"/>
        </w:rPr>
      </w:r>
      <w:bookmarkEnd w:id="26"/>
      <w:r>
        <w:rPr>
          <w:color w:val="auto"/>
          <w:highlight w:val="none"/>
        </w:rPr>
      </w:r>
      <w:r/>
    </w:p>
    <w:p>
      <w:pPr>
        <w:pStyle w:val="873"/>
        <w:ind w:firstLine="480"/>
        <w:spacing w:line="252" w:lineRule="auto"/>
        <w:rPr>
          <w:rFonts w:hint="eastAsia" w:ascii="宋体" w:hAnsi="宋体"/>
          <w:bCs/>
          <w:color w:val="auto"/>
          <w:sz w:val="24"/>
          <w:szCs w:val="24"/>
          <w:highlight w:val="none"/>
          <w:u w:val="single"/>
        </w:rPr>
      </w:pPr>
      <w:r>
        <w:rPr>
          <w:color w:val="auto"/>
          <w:highlight w:val="none"/>
        </w:rPr>
      </w:r>
      <w:bookmarkStart w:id="27" w:name="_Toc28359084"/>
      <w:r>
        <w:rPr>
          <w:color w:val="auto"/>
          <w:highlight w:val="none"/>
        </w:rPr>
      </w:r>
      <w:bookmarkStart w:id="28" w:name="_Toc28359007"/>
      <w:r>
        <w:rPr>
          <w:color w:val="auto"/>
          <w:highlight w:val="none"/>
        </w:rPr>
      </w:r>
      <w:bookmarkStart w:id="29" w:name="_Toc35393794"/>
      <w:r>
        <w:rPr>
          <w:color w:val="auto"/>
          <w:highlight w:val="none"/>
        </w:rPr>
      </w:r>
      <w:bookmarkStart w:id="30" w:name="_Toc35393625"/>
      <w:r>
        <w:rPr>
          <w:color w:val="auto"/>
          <w:highlight w:val="none"/>
        </w:rPr>
      </w:r>
      <w:bookmarkStart w:id="31" w:name="_Toc38985267"/>
      <w:r>
        <w:rPr>
          <w:rFonts w:hint="eastAsia" w:ascii="宋体" w:hAnsi="宋体" w:cs="宋体"/>
          <w:color w:val="auto"/>
          <w:sz w:val="24"/>
          <w:szCs w:val="24"/>
          <w:highlight w:val="none"/>
        </w:rPr>
        <w:t xml:space="preserve">1.提交投标文件截止时间、开标时间：</w:t>
      </w:r>
      <w:r>
        <w:rPr>
          <w:rFonts w:hint="eastAsia" w:ascii="宋体" w:hAnsi="宋体" w:cs="宋体"/>
          <w:bCs/>
          <w:color w:val="auto"/>
          <w:sz w:val="24"/>
          <w:szCs w:val="24"/>
          <w:highlight w:val="none"/>
        </w:rPr>
        <w:t xml:space="preserve">20</w:t>
      </w: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bCs/>
          <w:color w:val="auto"/>
          <w:sz w:val="24"/>
          <w:szCs w:val="24"/>
          <w:highlight w:val="none"/>
        </w:rPr>
        <w:t xml:space="preserve">年</w:t>
      </w:r>
      <w:r>
        <w:rPr>
          <w:rFonts w:hint="eastAsia" w:ascii="宋体" w:hAnsi="宋体" w:cs="宋体"/>
          <w:color w:val="auto"/>
          <w:sz w:val="24"/>
          <w:szCs w:val="24"/>
          <w:highlight w:val="none"/>
          <w:lang w:val="en-US" w:eastAsia="zh-CN"/>
        </w:rPr>
        <w:t xml:space="preserve">7</w:t>
      </w:r>
      <w:r>
        <w:rPr>
          <w:rFonts w:hint="eastAsia" w:ascii="宋体" w:hAnsi="宋体"/>
          <w:bCs/>
          <w:color w:val="auto"/>
          <w:sz w:val="24"/>
          <w:szCs w:val="24"/>
          <w:highlight w:val="none"/>
        </w:rPr>
        <w:t xml:space="preserve">月</w:t>
      </w:r>
      <w:r>
        <w:rPr>
          <w:rFonts w:hint="eastAsia" w:ascii="宋体" w:hAnsi="宋体" w:cs="宋体"/>
          <w:color w:val="auto"/>
          <w:sz w:val="24"/>
          <w:szCs w:val="24"/>
          <w:highlight w:val="none"/>
          <w:lang w:val="en-US" w:eastAsia="zh-CN"/>
        </w:rPr>
        <w:t xml:space="preserve">1</w:t>
      </w:r>
      <w:r>
        <w:rPr>
          <w:rFonts w:hint="eastAsia" w:ascii="宋体" w:hAnsi="宋体"/>
          <w:bCs/>
          <w:color w:val="auto"/>
          <w:sz w:val="24"/>
          <w:szCs w:val="24"/>
          <w:highlight w:val="none"/>
        </w:rPr>
        <w:t xml:space="preserve">日</w:t>
      </w:r>
      <w:r>
        <w:rPr>
          <w:rFonts w:hint="eastAsia" w:ascii="宋体" w:hAnsi="宋体" w:cs="宋体"/>
          <w:color w:val="auto"/>
          <w:sz w:val="24"/>
          <w:szCs w:val="24"/>
          <w:highlight w:val="none"/>
          <w:lang w:val="en-US" w:eastAsia="zh-CN"/>
        </w:rPr>
        <w:t xml:space="preserve">09</w:t>
      </w:r>
      <w:r>
        <w:rPr>
          <w:rFonts w:hint="eastAsia"/>
          <w:bCs/>
          <w:color w:val="auto"/>
          <w:sz w:val="24"/>
          <w:szCs w:val="24"/>
          <w:highlight w:val="none"/>
        </w:rPr>
        <w:t xml:space="preserve">时</w:t>
      </w:r>
      <w:r>
        <w:rPr>
          <w:rFonts w:hint="eastAsia" w:ascii="宋体" w:hAnsi="宋体" w:cs="宋体"/>
          <w:color w:val="auto"/>
          <w:sz w:val="24"/>
          <w:szCs w:val="24"/>
          <w:highlight w:val="none"/>
          <w:lang w:val="en-US" w:eastAsia="zh-CN"/>
        </w:rPr>
        <w:t xml:space="preserve">00</w:t>
      </w:r>
      <w:r>
        <w:rPr>
          <w:rFonts w:hint="eastAsia" w:ascii="宋体" w:hAnsi="宋体"/>
          <w:bCs/>
          <w:color w:val="auto"/>
          <w:sz w:val="24"/>
          <w:szCs w:val="24"/>
          <w:highlight w:val="none"/>
        </w:rPr>
        <w:t xml:space="preserve">分（北京时间）。</w:t>
      </w:r>
      <w:r>
        <w:rPr>
          <w:color w:val="auto"/>
          <w:highlight w:val="none"/>
        </w:rPr>
      </w:r>
      <w:r/>
    </w:p>
    <w:p>
      <w:pPr>
        <w:pStyle w:val="873"/>
        <w:ind w:firstLine="480"/>
        <w:spacing w:line="252" w:lineRule="auto"/>
        <w:rPr>
          <w:rFonts w:hint="eastAsia" w:ascii="宋体" w:hAnsi="宋体"/>
          <w:bCs/>
          <w:color w:val="auto"/>
          <w:sz w:val="24"/>
          <w:szCs w:val="24"/>
          <w:highlight w:val="none"/>
          <w:u w:val="single"/>
        </w:rPr>
      </w:pPr>
      <w:r>
        <w:rPr>
          <w:rFonts w:hint="eastAsia" w:ascii="宋体" w:hAnsi="宋体"/>
          <w:color w:val="auto"/>
          <w:sz w:val="24"/>
          <w:szCs w:val="24"/>
          <w:highlight w:val="none"/>
        </w:rPr>
        <w:t xml:space="preserve">2.地点：</w:t>
      </w:r>
      <w:r>
        <w:rPr>
          <w:rFonts w:hint="eastAsia" w:ascii="宋体" w:hAnsi="宋体" w:cs="宋体"/>
          <w:color w:val="auto"/>
          <w:sz w:val="24"/>
          <w:szCs w:val="24"/>
          <w:highlight w:val="none"/>
        </w:rPr>
        <w:t xml:space="preserve">江苏省政府采购交易系统（以下简称“苏采云系统”）网上开标大厅。</w:t>
      </w:r>
      <w:r>
        <w:rPr>
          <w:color w:val="auto"/>
          <w:highlight w:val="none"/>
        </w:rPr>
      </w:r>
      <w:r/>
    </w:p>
    <w:p>
      <w:pPr>
        <w:pStyle w:val="876"/>
        <w:ind w:firstLine="465"/>
        <w:spacing w:before="145" w:after="145" w:line="252" w:lineRule="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五、公告期限</w:t>
      </w:r>
      <w:bookmarkEnd w:id="27"/>
      <w:r>
        <w:rPr>
          <w:color w:val="auto"/>
          <w:highlight w:val="none"/>
        </w:rPr>
      </w:r>
      <w:bookmarkEnd w:id="28"/>
      <w:r>
        <w:rPr>
          <w:color w:val="auto"/>
          <w:highlight w:val="none"/>
        </w:rPr>
      </w:r>
      <w:bookmarkEnd w:id="29"/>
      <w:r>
        <w:rPr>
          <w:color w:val="auto"/>
          <w:highlight w:val="none"/>
        </w:rPr>
      </w:r>
      <w:bookmarkEnd w:id="30"/>
      <w:r>
        <w:rPr>
          <w:color w:val="auto"/>
          <w:highlight w:val="none"/>
        </w:rPr>
      </w:r>
      <w:bookmarkEnd w:id="31"/>
      <w:r>
        <w:rPr>
          <w:color w:val="auto"/>
          <w:highlight w:val="none"/>
        </w:rPr>
      </w:r>
      <w:r/>
    </w:p>
    <w:p>
      <w:pPr>
        <w:pStyle w:val="873"/>
        <w:ind w:firstLine="480"/>
        <w:spacing w:line="252" w:lineRule="auto"/>
        <w:rPr>
          <w:rFonts w:hint="eastAsia" w:ascii="宋体" w:hAnsi="宋体" w:cs="宋体"/>
          <w:color w:val="auto"/>
          <w:sz w:val="24"/>
          <w:szCs w:val="24"/>
          <w:highlight w:val="none"/>
        </w:rPr>
      </w:pPr>
      <w:r>
        <w:rPr>
          <w:color w:val="auto"/>
          <w:highlight w:val="none"/>
        </w:rPr>
      </w:r>
      <w:bookmarkStart w:id="32" w:name="_Toc35393795"/>
      <w:r>
        <w:rPr>
          <w:color w:val="auto"/>
          <w:highlight w:val="none"/>
        </w:rPr>
      </w:r>
      <w:bookmarkStart w:id="33" w:name="_Toc38985268"/>
      <w:r>
        <w:rPr>
          <w:color w:val="auto"/>
          <w:highlight w:val="none"/>
        </w:rPr>
      </w:r>
      <w:bookmarkStart w:id="34" w:name="_Toc35393626"/>
      <w:r>
        <w:rPr>
          <w:rFonts w:hint="eastAsia" w:ascii="宋体" w:hAnsi="宋体" w:cs="宋体"/>
          <w:color w:val="auto"/>
          <w:sz w:val="24"/>
          <w:szCs w:val="24"/>
          <w:highlight w:val="none"/>
        </w:rPr>
        <w:t xml:space="preserve">公告期限为自本公告发布之日起5个工作日。</w:t>
      </w:r>
      <w:r>
        <w:rPr>
          <w:color w:val="auto"/>
          <w:highlight w:val="none"/>
        </w:rPr>
      </w:r>
      <w:r/>
    </w:p>
    <w:p>
      <w:pPr>
        <w:pStyle w:val="876"/>
        <w:ind w:firstLine="465"/>
        <w:spacing w:before="145" w:after="145" w:line="252" w:lineRule="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六、其他事宜</w:t>
      </w:r>
      <w:bookmarkEnd w:id="32"/>
      <w:r>
        <w:rPr>
          <w:color w:val="auto"/>
          <w:highlight w:val="none"/>
        </w:rPr>
      </w:r>
      <w:bookmarkEnd w:id="33"/>
      <w:r>
        <w:rPr>
          <w:color w:val="auto"/>
          <w:highlight w:val="none"/>
        </w:rPr>
      </w:r>
      <w:bookmarkEnd w:id="34"/>
      <w:r>
        <w:rPr>
          <w:color w:val="auto"/>
          <w:highlight w:val="none"/>
        </w:rPr>
      </w:r>
      <w:r/>
    </w:p>
    <w:p>
      <w:pPr>
        <w:pStyle w:val="873"/>
        <w:ind w:firstLine="480"/>
        <w:spacing w:line="252" w:lineRule="auto"/>
        <w:tabs>
          <w:tab w:val="left" w:pos="900" w:leader="none"/>
        </w:tabs>
        <w:rPr>
          <w:rFonts w:hint="eastAsia" w:ascii="宋体" w:hAnsi="宋体"/>
          <w:bCs/>
          <w:color w:val="auto"/>
          <w:sz w:val="24"/>
          <w:szCs w:val="24"/>
          <w:highlight w:val="none"/>
        </w:rPr>
      </w:pPr>
      <w:r>
        <w:rPr>
          <w:color w:val="auto"/>
          <w:highlight w:val="none"/>
        </w:rPr>
      </w:r>
      <w:bookmarkStart w:id="35" w:name="_Toc35393796"/>
      <w:r>
        <w:rPr>
          <w:color w:val="auto"/>
          <w:highlight w:val="none"/>
        </w:rPr>
      </w:r>
      <w:bookmarkStart w:id="36" w:name="_Toc38985269"/>
      <w:r>
        <w:rPr>
          <w:color w:val="auto"/>
          <w:highlight w:val="none"/>
        </w:rPr>
      </w:r>
      <w:bookmarkStart w:id="37" w:name="_Toc28359008"/>
      <w:r>
        <w:rPr>
          <w:color w:val="auto"/>
          <w:highlight w:val="none"/>
        </w:rPr>
      </w:r>
      <w:bookmarkStart w:id="38" w:name="_Toc28359085"/>
      <w:r>
        <w:rPr>
          <w:color w:val="auto"/>
          <w:highlight w:val="none"/>
        </w:rPr>
      </w:r>
      <w:bookmarkStart w:id="39" w:name="_Toc35393627"/>
      <w:r>
        <w:rPr>
          <w:rFonts w:hint="eastAsia" w:ascii="宋体" w:hAnsi="宋体" w:cs="宋体"/>
          <w:color w:val="auto"/>
          <w:sz w:val="24"/>
          <w:szCs w:val="24"/>
          <w:highlight w:val="none"/>
        </w:rPr>
        <w:t xml:space="preserve">1.</w:t>
      </w:r>
      <w:r>
        <w:rPr>
          <w:rFonts w:hint="eastAsia" w:ascii="宋体" w:hAnsi="宋体"/>
          <w:bCs/>
          <w:color w:val="auto"/>
          <w:sz w:val="24"/>
          <w:szCs w:val="24"/>
          <w:highlight w:val="none"/>
        </w:rPr>
        <w:t xml:space="preserve">本次招标不收取投标保证金。</w:t>
      </w:r>
      <w:r>
        <w:rPr>
          <w:color w:val="auto"/>
          <w:highlight w:val="none"/>
        </w:rPr>
      </w:r>
      <w:r/>
    </w:p>
    <w:p>
      <w:pPr>
        <w:pStyle w:val="873"/>
        <w:ind w:firstLine="480"/>
        <w:spacing w:line="252" w:lineRule="auto"/>
        <w:tabs>
          <w:tab w:val="left" w:pos="900" w:leader="none"/>
        </w:tabs>
        <w:rPr>
          <w:rFonts w:hint="eastAsia" w:ascii="宋体" w:hAnsi="宋体" w:cs="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s="宋体"/>
          <w:color w:val="auto"/>
          <w:sz w:val="24"/>
          <w:szCs w:val="24"/>
          <w:highlight w:val="none"/>
        </w:rPr>
        <w:t xml:space="preserve">本项目不组织</w:t>
      </w:r>
      <w:r>
        <w:rPr>
          <w:rFonts w:hint="eastAsia" w:ascii="宋体" w:hAnsi="宋体"/>
          <w:color w:val="auto"/>
          <w:sz w:val="24"/>
          <w:szCs w:val="24"/>
          <w:highlight w:val="none"/>
        </w:rPr>
        <w:t xml:space="preserve">勘察及答疑</w:t>
      </w:r>
      <w:r>
        <w:rPr>
          <w:rFonts w:hint="eastAsia" w:ascii="宋体" w:hAnsi="宋体" w:cs="宋体"/>
          <w:color w:val="auto"/>
          <w:sz w:val="24"/>
          <w:szCs w:val="24"/>
          <w:highlight w:val="none"/>
        </w:rPr>
        <w:t xml:space="preserve">，供应商如对采购需求有疑问，请咨询采购单位联系人。 </w:t>
      </w:r>
      <w:r>
        <w:rPr>
          <w:color w:val="auto"/>
          <w:highlight w:val="none"/>
        </w:rPr>
      </w:r>
      <w:r/>
    </w:p>
    <w:p>
      <w:pPr>
        <w:pStyle w:val="873"/>
        <w:ind w:firstLine="480"/>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rPr>
          <w:color w:val="auto"/>
          <w:highlight w:val="none"/>
        </w:rPr>
      </w:r>
      <w:r/>
    </w:p>
    <w:p>
      <w:pPr>
        <w:pStyle w:val="873"/>
        <w:ind w:firstLine="480"/>
        <w:spacing w:line="252" w:lineRule="auto"/>
        <w:rPr>
          <w:rFonts w:hint="eastAsia" w:ascii="宋体" w:hAnsi="宋体"/>
          <w:color w:val="auto"/>
          <w:sz w:val="24"/>
          <w:highlight w:val="none"/>
        </w:rPr>
      </w:pPr>
      <w:r>
        <w:rPr>
          <w:rFonts w:hint="eastAsia" w:ascii="宋体" w:hAnsi="宋体" w:cs="宋体"/>
          <w:color w:val="auto"/>
          <w:sz w:val="24"/>
          <w:szCs w:val="24"/>
          <w:highlight w:val="none"/>
        </w:rPr>
        <w:t xml:space="preserve">4.有关本次招标的事项若存在变动或修改，请及时关注“江苏政府采购网”（www.ccgp-jiangsu.gov.cn）更正公告。</w:t>
      </w:r>
      <w:r>
        <w:rPr>
          <w:color w:val="auto"/>
          <w:highlight w:val="none"/>
        </w:rPr>
      </w:r>
      <w:r/>
    </w:p>
    <w:p>
      <w:pPr>
        <w:pStyle w:val="873"/>
        <w:ind w:firstLine="422"/>
        <w:rPr>
          <w:rFonts w:hint="eastAsia" w:ascii="宋体" w:hAnsi="宋体"/>
          <w:b/>
          <w:bCs/>
          <w:color w:val="auto"/>
          <w:sz w:val="24"/>
          <w:szCs w:val="22"/>
          <w:highlight w:val="none"/>
        </w:rPr>
      </w:pPr>
      <w:r>
        <w:rPr>
          <w:rFonts w:hint="eastAsia" w:ascii="宋体" w:hAnsi="宋体"/>
          <w:b/>
          <w:bCs/>
          <w:color w:val="auto"/>
          <w:sz w:val="24"/>
          <w:highlight w:val="none"/>
        </w:rPr>
        <w:t xml:space="preserve">5.</w:t>
      </w:r>
      <w:r>
        <w:rPr>
          <w:rFonts w:hint="eastAsia" w:ascii="宋体" w:hAnsi="宋体"/>
          <w:b/>
          <w:bCs/>
          <w:color w:val="auto"/>
          <w:sz w:val="24"/>
          <w:highlight w:val="none"/>
          <w:lang w:val="zh-CN"/>
        </w:rPr>
        <w:t xml:space="preserve">供应商（含潜在供应商）</w:t>
      </w:r>
      <w:r>
        <w:rPr>
          <w:rFonts w:hint="eastAsia" w:ascii="宋体" w:hAnsi="宋体"/>
          <w:b/>
          <w:bCs/>
          <w:color w:val="auto"/>
          <w:sz w:val="24"/>
          <w:highlight w:val="none"/>
        </w:rPr>
        <w:t xml:space="preserve">对本项目有关</w:t>
      </w:r>
      <w:r>
        <w:rPr>
          <w:rFonts w:hint="eastAsia" w:ascii="宋体" w:hAnsi="宋体"/>
          <w:b/>
          <w:bCs/>
          <w:color w:val="auto"/>
          <w:sz w:val="24"/>
          <w:highlight w:val="none"/>
          <w:lang w:val="zh-CN"/>
        </w:rPr>
        <w:t xml:space="preserve">的</w:t>
      </w:r>
      <w:r>
        <w:rPr>
          <w:rFonts w:hint="eastAsia" w:ascii="宋体" w:hAnsi="宋体"/>
          <w:b/>
          <w:bCs/>
          <w:color w:val="auto"/>
          <w:sz w:val="24"/>
          <w:highlight w:val="none"/>
        </w:rPr>
        <w:t xml:space="preserve">所有</w:t>
      </w:r>
      <w:r>
        <w:rPr>
          <w:rFonts w:hint="eastAsia" w:ascii="宋体" w:hAnsi="宋体"/>
          <w:b/>
          <w:bCs/>
          <w:color w:val="auto"/>
          <w:sz w:val="24"/>
          <w:highlight w:val="none"/>
          <w:lang w:val="zh-CN"/>
        </w:rPr>
        <w:t xml:space="preserve">询问</w:t>
      </w:r>
      <w:r>
        <w:rPr>
          <w:rFonts w:hint="eastAsia" w:ascii="宋体" w:hAnsi="宋体"/>
          <w:b/>
          <w:bCs/>
          <w:color w:val="auto"/>
          <w:sz w:val="24"/>
          <w:highlight w:val="none"/>
        </w:rPr>
        <w:t xml:space="preserve">或</w:t>
      </w:r>
      <w:r>
        <w:rPr>
          <w:rFonts w:hint="eastAsia" w:ascii="宋体" w:hAnsi="宋体"/>
          <w:b/>
          <w:bCs/>
          <w:color w:val="auto"/>
          <w:sz w:val="24"/>
          <w:highlight w:val="none"/>
          <w:lang w:val="zh-CN"/>
        </w:rPr>
        <w:t xml:space="preserve">质疑向采购人提出，由采购人负责答复。</w:t>
      </w:r>
      <w:r>
        <w:rPr>
          <w:color w:val="auto"/>
          <w:highlight w:val="none"/>
        </w:rPr>
      </w:r>
      <w:r/>
    </w:p>
    <w:p>
      <w:pPr>
        <w:pStyle w:val="873"/>
        <w:ind w:firstLine="420"/>
        <w:jc w:val="left"/>
        <w:widowControl/>
        <w:rPr>
          <w:rFonts w:hint="eastAsia" w:ascii="宋体" w:hAnsi="宋体"/>
          <w:b/>
          <w:bCs/>
          <w:color w:val="auto"/>
          <w:sz w:val="24"/>
          <w:szCs w:val="22"/>
          <w:highlight w:val="none"/>
        </w:rPr>
      </w:pPr>
      <w:r>
        <w:rPr>
          <w:rFonts w:hint="eastAsia" w:ascii="宋体" w:hAnsi="宋体"/>
          <w:color w:val="auto"/>
          <w:sz w:val="24"/>
          <w:highlight w:val="none"/>
        </w:rPr>
        <w:t xml:space="preserve">采购人《质疑函》收件人：</w:t>
      </w:r>
      <w:r>
        <w:rPr>
          <w:rFonts w:hint="eastAsia" w:ascii="宋体" w:hAnsi="宋体"/>
          <w:color w:val="auto"/>
          <w:sz w:val="24"/>
          <w:szCs w:val="24"/>
          <w:highlight w:val="none"/>
        </w:rPr>
        <w:t xml:space="preserve">南京六合经济开发区管理委员会</w:t>
      </w:r>
      <w:r>
        <w:rPr>
          <w:rFonts w:hint="eastAsia" w:ascii="宋体" w:hAnsi="宋体"/>
          <w:color w:val="auto"/>
          <w:sz w:val="24"/>
          <w:highlight w:val="none"/>
        </w:rPr>
        <w:t xml:space="preserve">，收件地址：</w:t>
      </w:r>
      <w:r>
        <w:rPr>
          <w:rFonts w:hint="eastAsia" w:ascii="宋体" w:hAnsi="宋体"/>
          <w:color w:val="auto"/>
          <w:sz w:val="24"/>
          <w:szCs w:val="24"/>
          <w:highlight w:val="none"/>
        </w:rPr>
        <w:t xml:space="preserve">南京市六合区虎跃东路8号六合科创园A1幢</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层 </w:t>
      </w:r>
      <w:r>
        <w:rPr>
          <w:rFonts w:hint="eastAsia" w:ascii="宋体" w:hAnsi="宋体" w:cs="宋体"/>
          <w:color w:val="auto"/>
          <w:sz w:val="24"/>
          <w:szCs w:val="24"/>
          <w:highlight w:val="none"/>
        </w:rPr>
        <w:t xml:space="preserve">，</w:t>
      </w:r>
      <w:r>
        <w:rPr>
          <w:rFonts w:hint="eastAsia" w:ascii="宋体" w:hAnsi="宋体"/>
          <w:color w:val="auto"/>
          <w:sz w:val="24"/>
          <w:highlight w:val="none"/>
        </w:rPr>
        <w:t xml:space="preserve">联系电话：</w:t>
      </w:r>
      <w:r>
        <w:rPr>
          <w:rFonts w:hint="eastAsia" w:ascii="宋体" w:hAnsi="宋体"/>
          <w:color w:val="auto"/>
          <w:sz w:val="24"/>
          <w:highlight w:val="none"/>
          <w:lang w:val="zh-CN"/>
        </w:rPr>
        <w:t xml:space="preserve">025-</w:t>
      </w:r>
      <w:r>
        <w:rPr>
          <w:rFonts w:hint="eastAsia" w:ascii="宋体" w:hAnsi="宋体"/>
          <w:color w:val="auto"/>
          <w:sz w:val="24"/>
          <w:szCs w:val="24"/>
          <w:highlight w:val="none"/>
          <w:lang w:val="en-US" w:eastAsia="zh-CN"/>
        </w:rPr>
        <w:t xml:space="preserve">57189035</w:t>
      </w:r>
      <w:r>
        <w:rPr>
          <w:rFonts w:hint="eastAsia" w:ascii="宋体" w:hAnsi="宋体"/>
          <w:color w:val="auto"/>
          <w:sz w:val="24"/>
          <w:highlight w:val="none"/>
          <w:lang w:val="zh-CN"/>
        </w:rPr>
        <w:t xml:space="preserve">。</w:t>
      </w:r>
      <w:r>
        <w:rPr>
          <w:color w:val="auto"/>
          <w:highlight w:val="none"/>
        </w:rPr>
      </w:r>
      <w:r/>
    </w:p>
    <w:p>
      <w:pPr>
        <w:pStyle w:val="876"/>
        <w:ind w:firstLine="465"/>
        <w:spacing w:before="145" w:after="145" w:line="252" w:lineRule="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七、本次招标联系方式</w:t>
      </w:r>
      <w:bookmarkEnd w:id="35"/>
      <w:r>
        <w:rPr>
          <w:color w:val="auto"/>
          <w:highlight w:val="none"/>
        </w:rPr>
      </w:r>
      <w:bookmarkEnd w:id="36"/>
      <w:r>
        <w:rPr>
          <w:color w:val="auto"/>
          <w:highlight w:val="none"/>
        </w:rPr>
      </w:r>
      <w:bookmarkEnd w:id="37"/>
      <w:r>
        <w:rPr>
          <w:color w:val="auto"/>
          <w:highlight w:val="none"/>
        </w:rPr>
      </w:r>
      <w:bookmarkEnd w:id="38"/>
      <w:r>
        <w:rPr>
          <w:color w:val="auto"/>
          <w:highlight w:val="none"/>
        </w:rPr>
      </w:r>
      <w:bookmarkEnd w:id="39"/>
      <w:r>
        <w:rPr>
          <w:color w:val="auto"/>
          <w:highlight w:val="none"/>
        </w:rPr>
      </w:r>
      <w:r/>
    </w:p>
    <w:p>
      <w:pPr>
        <w:pStyle w:val="873"/>
        <w:ind w:firstLine="480"/>
        <w:spacing w:line="252" w:lineRule="auto"/>
        <w:rPr>
          <w:rFonts w:hint="eastAsia" w:ascii="宋体" w:hAnsi="宋体"/>
          <w:color w:val="auto"/>
          <w:sz w:val="24"/>
          <w:szCs w:val="24"/>
          <w:highlight w:val="none"/>
        </w:rPr>
      </w:pPr>
      <w:r>
        <w:rPr>
          <w:rFonts w:hint="eastAsia" w:ascii="宋体" w:hAnsi="宋体"/>
          <w:color w:val="auto"/>
          <w:sz w:val="24"/>
          <w:szCs w:val="24"/>
          <w:highlight w:val="none"/>
        </w:rPr>
        <w:t xml:space="preserve">1.采购人</w:t>
      </w:r>
      <w:r>
        <w:rPr>
          <w:color w:val="auto"/>
          <w:highlight w:val="none"/>
        </w:rPr>
      </w:r>
      <w:r/>
    </w:p>
    <w:p>
      <w:pPr>
        <w:pStyle w:val="873"/>
        <w:ind w:firstLine="480"/>
        <w:spacing w:line="252" w:lineRule="auto"/>
        <w:rPr>
          <w:rFonts w:hint="eastAsia" w:ascii="宋体" w:hAnsi="宋体"/>
          <w:color w:val="auto"/>
          <w:sz w:val="24"/>
          <w:szCs w:val="24"/>
          <w:highlight w:val="none"/>
        </w:rPr>
      </w:pPr>
      <w:r>
        <w:rPr>
          <w:rFonts w:hint="eastAsia" w:ascii="宋体" w:hAnsi="宋体"/>
          <w:color w:val="auto"/>
          <w:sz w:val="24"/>
          <w:szCs w:val="24"/>
          <w:highlight w:val="none"/>
        </w:rPr>
        <w:t xml:space="preserve">名  称：</w:t>
      </w:r>
      <w:r>
        <w:rPr>
          <w:rFonts w:hint="eastAsia" w:ascii="宋体" w:hAnsi="宋体"/>
          <w:color w:val="auto"/>
          <w:sz w:val="24"/>
          <w:szCs w:val="24"/>
          <w:highlight w:val="none"/>
        </w:rPr>
        <w:t xml:space="preserve">南京六合经济开发区管理委员会 </w:t>
      </w:r>
      <w:r>
        <w:rPr>
          <w:rFonts w:hint="eastAsia" w:ascii="宋体" w:hAnsi="宋体"/>
          <w:color w:val="auto"/>
          <w:sz w:val="24"/>
          <w:szCs w:val="24"/>
          <w:highlight w:val="none"/>
        </w:rPr>
        <w:t xml:space="preserve">          </w:t>
      </w:r>
      <w:r>
        <w:rPr>
          <w:color w:val="auto"/>
          <w:highlight w:val="none"/>
        </w:rPr>
      </w:r>
      <w:r/>
    </w:p>
    <w:p>
      <w:pPr>
        <w:pStyle w:val="873"/>
        <w:ind w:firstLine="480"/>
        <w:spacing w:line="252" w:lineRule="auto"/>
        <w:rPr>
          <w:rFonts w:hint="eastAsia" w:ascii="宋体" w:hAnsi="宋体"/>
          <w:color w:val="auto"/>
          <w:sz w:val="24"/>
          <w:szCs w:val="24"/>
          <w:highlight w:val="none"/>
        </w:rPr>
      </w:pPr>
      <w:r>
        <w:rPr>
          <w:rFonts w:hint="eastAsia" w:ascii="宋体" w:hAnsi="宋体"/>
          <w:color w:val="auto"/>
          <w:sz w:val="24"/>
          <w:szCs w:val="24"/>
          <w:highlight w:val="none"/>
        </w:rPr>
        <w:t xml:space="preserve">地  址：</w:t>
      </w:r>
      <w:r>
        <w:rPr>
          <w:rFonts w:hint="eastAsia" w:ascii="宋体" w:hAnsi="宋体"/>
          <w:color w:val="auto"/>
          <w:sz w:val="24"/>
          <w:szCs w:val="24"/>
          <w:highlight w:val="none"/>
        </w:rPr>
        <w:t xml:space="preserve">南京市六合区虎跃东路8号六合科创园A1幢</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层 </w:t>
      </w:r>
      <w:r>
        <w:rPr>
          <w:rFonts w:hint="eastAsia" w:ascii="宋体" w:hAnsi="宋体"/>
          <w:color w:val="auto"/>
          <w:sz w:val="24"/>
          <w:szCs w:val="24"/>
          <w:highlight w:val="none"/>
        </w:rPr>
        <w:t xml:space="preserve">    </w:t>
      </w:r>
      <w:r>
        <w:rPr>
          <w:color w:val="auto"/>
          <w:highlight w:val="none"/>
        </w:rPr>
      </w:r>
      <w:r/>
    </w:p>
    <w:p>
      <w:pPr>
        <w:pStyle w:val="873"/>
        <w:ind w:firstLine="480"/>
        <w:spacing w:line="252" w:lineRule="auto"/>
        <w:rPr>
          <w:rFonts w:hint="eastAsia" w:ascii="宋体" w:hAnsi="宋体"/>
          <w:color w:val="auto"/>
          <w:sz w:val="24"/>
          <w:szCs w:val="24"/>
          <w:highlight w:val="none"/>
        </w:rPr>
      </w:pPr>
      <w:r>
        <w:rPr>
          <w:rFonts w:hint="eastAsia" w:ascii="宋体" w:hAnsi="宋体"/>
          <w:color w:val="auto"/>
          <w:sz w:val="24"/>
          <w:szCs w:val="24"/>
          <w:highlight w:val="none"/>
        </w:rPr>
        <w:t xml:space="preserve">联系人：</w:t>
      </w:r>
      <w:r>
        <w:rPr>
          <w:rFonts w:hint="eastAsia" w:ascii="宋体" w:hAnsi="宋体"/>
          <w:color w:val="auto"/>
          <w:sz w:val="24"/>
          <w:szCs w:val="24"/>
          <w:highlight w:val="none"/>
          <w:lang w:val="en-US" w:eastAsia="zh-CN"/>
        </w:rPr>
        <w:t xml:space="preserve">林工</w:t>
      </w:r>
      <w:r>
        <w:rPr>
          <w:rFonts w:hint="eastAsia" w:ascii="宋体" w:hAnsi="宋体"/>
          <w:color w:val="auto"/>
          <w:sz w:val="24"/>
          <w:szCs w:val="24"/>
          <w:highlight w:val="none"/>
        </w:rPr>
        <w:t xml:space="preserve"> </w:t>
      </w:r>
      <w:r>
        <w:rPr>
          <w:color w:val="auto"/>
          <w:highlight w:val="none"/>
        </w:rPr>
      </w:r>
      <w:r/>
    </w:p>
    <w:p>
      <w:pPr>
        <w:pStyle w:val="873"/>
        <w:ind w:firstLine="480"/>
        <w:spacing w:line="252" w:lineRule="auto"/>
        <w:rPr>
          <w:rFonts w:hint="eastAsia" w:ascii="宋体" w:hAnsi="宋体"/>
          <w:color w:val="auto"/>
          <w:sz w:val="24"/>
          <w:szCs w:val="24"/>
          <w:highlight w:val="none"/>
        </w:rPr>
      </w:pPr>
      <w:r>
        <w:rPr>
          <w:rFonts w:hint="eastAsia" w:ascii="宋体" w:hAnsi="宋体"/>
          <w:color w:val="auto"/>
          <w:sz w:val="24"/>
          <w:szCs w:val="24"/>
          <w:highlight w:val="none"/>
        </w:rPr>
        <w:t xml:space="preserve">联系电话：025-</w:t>
      </w:r>
      <w:r>
        <w:rPr>
          <w:rFonts w:hint="eastAsia" w:ascii="宋体" w:hAnsi="宋体"/>
          <w:color w:val="auto"/>
          <w:sz w:val="24"/>
          <w:szCs w:val="24"/>
          <w:highlight w:val="none"/>
          <w:lang w:val="en-US" w:eastAsia="zh-CN"/>
        </w:rPr>
        <w:t xml:space="preserve">57189035</w:t>
      </w:r>
      <w:r>
        <w:rPr>
          <w:rFonts w:hint="eastAsia" w:ascii="宋体" w:hAnsi="宋体"/>
          <w:color w:val="auto"/>
          <w:sz w:val="24"/>
          <w:szCs w:val="24"/>
          <w:highlight w:val="none"/>
        </w:rPr>
        <w:t xml:space="preserve"> </w:t>
      </w:r>
      <w:bookmarkStart w:id="40" w:name="_Toc28359009"/>
      <w:r>
        <w:rPr>
          <w:color w:val="auto"/>
          <w:highlight w:val="none"/>
        </w:rPr>
      </w:r>
      <w:bookmarkStart w:id="41" w:name="_Toc28359086"/>
      <w:r>
        <w:rPr>
          <w:color w:val="auto"/>
          <w:highlight w:val="none"/>
        </w:rPr>
      </w:r>
      <w:r/>
    </w:p>
    <w:p>
      <w:pPr>
        <w:pStyle w:val="873"/>
        <w:ind w:firstLine="480"/>
        <w:spacing w:line="252" w:lineRule="auto"/>
        <w:rPr>
          <w:rFonts w:hint="eastAsia" w:ascii="宋体" w:hAnsi="宋体"/>
          <w:color w:val="auto"/>
          <w:sz w:val="24"/>
          <w:szCs w:val="24"/>
          <w:highlight w:val="none"/>
        </w:rPr>
      </w:pPr>
      <w:r>
        <w:rPr>
          <w:rFonts w:hint="eastAsia" w:ascii="宋体" w:hAnsi="宋体"/>
          <w:color w:val="auto"/>
          <w:sz w:val="24"/>
          <w:szCs w:val="24"/>
          <w:highlight w:val="none"/>
        </w:rPr>
        <w:t xml:space="preserve">2.交易中心</w:t>
      </w:r>
      <w:bookmarkEnd w:id="40"/>
      <w:r>
        <w:rPr>
          <w:color w:val="auto"/>
          <w:highlight w:val="none"/>
        </w:rPr>
      </w:r>
      <w:bookmarkEnd w:id="41"/>
      <w:r>
        <w:rPr>
          <w:color w:val="auto"/>
          <w:highlight w:val="none"/>
        </w:rPr>
      </w:r>
      <w:r/>
    </w:p>
    <w:p>
      <w:pPr>
        <w:pStyle w:val="873"/>
        <w:ind w:firstLine="480"/>
        <w:jc w:val="left"/>
        <w:spacing w:line="252" w:lineRule="auto"/>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地  址：南京市六合区雄州街道龙池路333号  </w:t>
      </w:r>
      <w:r>
        <w:rPr>
          <w:color w:val="auto"/>
          <w:highlight w:val="none"/>
        </w:rPr>
      </w:r>
      <w:r/>
    </w:p>
    <w:p>
      <w:pPr>
        <w:pStyle w:val="873"/>
        <w:ind w:firstLine="480"/>
        <w:jc w:val="left"/>
        <w:spacing w:line="252" w:lineRule="auto"/>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联系人：温老师</w:t>
      </w:r>
      <w:r>
        <w:rPr>
          <w:color w:val="auto"/>
          <w:highlight w:val="none"/>
        </w:rPr>
      </w:r>
      <w:r/>
    </w:p>
    <w:p>
      <w:pPr>
        <w:pStyle w:val="873"/>
        <w:ind w:firstLine="480"/>
        <w:jc w:val="left"/>
        <w:spacing w:line="252" w:lineRule="auto"/>
        <w:tabs>
          <w:tab w:val="left" w:pos="900" w:leader="none"/>
        </w:tabs>
        <w:rPr>
          <w:rFonts w:ascii="宋体" w:hAnsi="宋体"/>
          <w:color w:val="auto"/>
          <w:sz w:val="24"/>
          <w:szCs w:val="24"/>
          <w:highlight w:val="none"/>
        </w:rPr>
      </w:pPr>
      <w:r>
        <w:rPr>
          <w:rFonts w:hint="eastAsia" w:ascii="宋体" w:hAnsi="宋体"/>
          <w:color w:val="auto"/>
          <w:sz w:val="24"/>
          <w:szCs w:val="24"/>
          <w:highlight w:val="none"/>
        </w:rPr>
        <w:t xml:space="preserve">联系电话：025-57130501</w:t>
      </w:r>
      <w:r>
        <w:rPr>
          <w:color w:val="auto"/>
          <w:highlight w:val="none"/>
        </w:rPr>
      </w:r>
      <w:r/>
    </w:p>
    <w:p>
      <w:pPr>
        <w:pStyle w:val="951"/>
        <w:ind w:left="0"/>
        <w:jc w:val="center"/>
        <w:tabs>
          <w:tab w:val="left" w:pos="463" w:leader="none"/>
        </w:tabs>
        <w:rPr>
          <w:rFonts w:hint="eastAsia" w:ascii="方正小标宋简体" w:hAnsi="方正小标宋简体" w:eastAsia="方正小标宋简体" w:cs="方正小标宋简体"/>
          <w:color w:val="auto"/>
          <w:sz w:val="36"/>
          <w:szCs w:val="36"/>
          <w:highlight w:val="none"/>
        </w:rPr>
        <w:outlineLvl w:val="0"/>
      </w:pPr>
      <w:r>
        <w:rPr>
          <w:color w:val="auto"/>
          <w:highlight w:val="none"/>
        </w:rPr>
      </w:r>
      <w:bookmarkEnd w:id="1"/>
      <w:r>
        <w:rPr>
          <w:color w:val="auto"/>
          <w:highlight w:val="none"/>
        </w:rPr>
      </w:r>
      <w:bookmarkEnd w:id="2"/>
      <w:r>
        <w:rPr>
          <w:color w:val="auto"/>
          <w:highlight w:val="none"/>
        </w:rPr>
      </w:r>
      <w:bookmarkEnd w:id="3"/>
      <w:r>
        <w:rPr>
          <w:color w:val="auto"/>
          <w:highlight w:val="none"/>
        </w:rPr>
      </w:r>
      <w:bookmarkEnd w:id="4"/>
      <w:r>
        <w:rPr>
          <w:color w:val="auto"/>
          <w:highlight w:val="none"/>
        </w:rPr>
      </w:r>
      <w:bookmarkEnd w:id="5"/>
      <w:r>
        <w:rPr>
          <w:color w:val="auto"/>
          <w:highlight w:val="none"/>
        </w:rPr>
      </w:r>
      <w:bookmarkStart w:id="42" w:name="_Toc462564139"/>
      <w:r>
        <w:rPr>
          <w:color w:val="auto"/>
          <w:highlight w:val="none"/>
        </w:rPr>
      </w:r>
      <w:bookmarkStart w:id="43" w:name="_Toc479757211"/>
      <w:r>
        <w:rPr>
          <w:color w:val="auto"/>
          <w:highlight w:val="none"/>
        </w:rPr>
      </w:r>
      <w:bookmarkStart w:id="44" w:name="_Toc16938590"/>
      <w:r>
        <w:rPr>
          <w:color w:val="auto"/>
          <w:highlight w:val="none"/>
        </w:rPr>
      </w:r>
      <w:bookmarkStart w:id="45" w:name="_Hlt16619350"/>
      <w:r>
        <w:rPr>
          <w:color w:val="auto"/>
          <w:highlight w:val="none"/>
        </w:rPr>
      </w:r>
      <w:bookmarkStart w:id="46" w:name="_Toc20823346"/>
      <w:r>
        <w:rPr>
          <w:color w:val="auto"/>
          <w:highlight w:val="none"/>
        </w:rPr>
      </w:r>
      <w:bookmarkStart w:id="47" w:name="_Toc120614244"/>
      <w:r>
        <w:rPr>
          <w:rFonts w:ascii="黑体" w:eastAsia="黑体"/>
          <w:bCs/>
          <w:color w:val="auto"/>
          <w:sz w:val="44"/>
          <w:highlight w:val="none"/>
        </w:rPr>
        <w:br w:type="page" w:clear="all"/>
      </w:r>
      <w:bookmarkStart w:id="48" w:name="_Toc120614211"/>
      <w:r>
        <w:rPr>
          <w:rFonts w:hint="eastAsia" w:ascii="方正小标宋简体" w:hAnsi="方正小标宋简体" w:eastAsia="方正小标宋简体" w:cs="方正小标宋简体"/>
          <w:color w:val="auto"/>
          <w:sz w:val="36"/>
          <w:szCs w:val="36"/>
          <w:highlight w:val="none"/>
          <w:lang w:val="en-US"/>
        </w:rPr>
        <w:t xml:space="preserve">第二章  </w:t>
      </w:r>
      <w:bookmarkEnd w:id="48"/>
      <w:r>
        <w:rPr>
          <w:color w:val="auto"/>
          <w:highlight w:val="none"/>
        </w:rPr>
      </w:r>
      <w:bookmarkStart w:id="49" w:name="_Toc513029202"/>
      <w:r>
        <w:rPr>
          <w:color w:val="auto"/>
          <w:highlight w:val="none"/>
        </w:rPr>
      </w:r>
      <w:bookmarkStart w:id="50" w:name="_Toc20823274"/>
      <w:r>
        <w:rPr>
          <w:color w:val="auto"/>
          <w:highlight w:val="none"/>
        </w:rPr>
      </w:r>
      <w:bookmarkStart w:id="51" w:name="_Toc16938518"/>
      <w:r>
        <w:rPr>
          <w:color w:val="auto"/>
          <w:highlight w:val="none"/>
        </w:rPr>
      </w:r>
      <w:bookmarkStart w:id="52" w:name="_Toc120614213"/>
      <w:r>
        <w:rPr>
          <w:rFonts w:hint="eastAsia" w:ascii="方正小标宋简体" w:hAnsi="方正小标宋简体" w:eastAsia="方正小标宋简体" w:cs="方正小标宋简体"/>
          <w:color w:val="auto"/>
          <w:sz w:val="36"/>
          <w:szCs w:val="36"/>
          <w:highlight w:val="none"/>
          <w:lang w:val="en-US"/>
        </w:rPr>
        <w:t xml:space="preserve">投标人须知</w:t>
      </w:r>
      <w:bookmarkEnd w:id="49"/>
      <w:r>
        <w:rPr>
          <w:color w:val="auto"/>
          <w:highlight w:val="none"/>
        </w:rPr>
      </w:r>
      <w:bookmarkEnd w:id="50"/>
      <w:r>
        <w:rPr>
          <w:color w:val="auto"/>
          <w:highlight w:val="none"/>
        </w:rPr>
      </w:r>
      <w:bookmarkEnd w:id="51"/>
      <w:r>
        <w:rPr>
          <w:color w:val="auto"/>
          <w:highlight w:val="none"/>
        </w:rPr>
      </w:r>
      <w:bookmarkEnd w:id="52"/>
      <w:r>
        <w:rPr>
          <w:color w:val="auto"/>
          <w:highlight w:val="none"/>
        </w:rPr>
      </w:r>
      <w:r/>
    </w:p>
    <w:p>
      <w:pPr>
        <w:pStyle w:val="876"/>
        <w:ind w:firstLine="465"/>
        <w:spacing w:before="145" w:after="145" w:line="240" w:lineRule="auto"/>
        <w:rPr>
          <w:rFonts w:hint="eastAsia" w:ascii="方正黑体_GBK" w:hAnsi="方正黑体_GBK" w:eastAsia="方正黑体_GBK" w:cs="方正黑体_GBK"/>
          <w:b w:val="0"/>
          <w:bCs w:val="0"/>
          <w:color w:val="auto"/>
          <w:sz w:val="30"/>
          <w:szCs w:val="30"/>
          <w:highlight w:val="none"/>
        </w:rPr>
      </w:pPr>
      <w:r>
        <w:rPr>
          <w:color w:val="auto"/>
          <w:highlight w:val="none"/>
        </w:rPr>
      </w:r>
      <w:bookmarkStart w:id="53" w:name="_Toc120614214"/>
      <w:r>
        <w:rPr>
          <w:color w:val="auto"/>
          <w:highlight w:val="none"/>
        </w:rPr>
      </w:r>
      <w:bookmarkStart w:id="54" w:name="_Toc16938519"/>
      <w:r>
        <w:rPr>
          <w:color w:val="auto"/>
          <w:highlight w:val="none"/>
        </w:rPr>
      </w:r>
      <w:bookmarkStart w:id="55" w:name="_Toc513029203"/>
      <w:r>
        <w:rPr>
          <w:color w:val="auto"/>
          <w:highlight w:val="none"/>
        </w:rPr>
      </w:r>
      <w:bookmarkStart w:id="56" w:name="_Toc20823275"/>
      <w:r>
        <w:rPr>
          <w:color w:val="auto"/>
          <w:highlight w:val="none"/>
        </w:rPr>
      </w:r>
      <w:bookmarkStart w:id="57" w:name="_Toc120614221"/>
      <w:r>
        <w:rPr>
          <w:color w:val="auto"/>
          <w:highlight w:val="none"/>
        </w:rPr>
      </w:r>
      <w:bookmarkStart w:id="58" w:name="_Toc20823314"/>
      <w:r>
        <w:rPr>
          <w:color w:val="auto"/>
          <w:highlight w:val="none"/>
        </w:rPr>
      </w:r>
      <w:bookmarkStart w:id="59" w:name="_Toc479757207"/>
      <w:r>
        <w:rPr>
          <w:color w:val="auto"/>
          <w:highlight w:val="none"/>
        </w:rPr>
      </w:r>
      <w:bookmarkStart w:id="60" w:name="_Toc513029242"/>
      <w:r>
        <w:rPr>
          <w:color w:val="auto"/>
          <w:highlight w:val="none"/>
        </w:rPr>
      </w:r>
      <w:bookmarkStart w:id="61" w:name="_Toc16938558"/>
      <w:r>
        <w:rPr>
          <w:rFonts w:hint="eastAsia" w:ascii="方正黑体_GBK" w:hAnsi="方正黑体_GBK" w:eastAsia="方正黑体_GBK" w:cs="方正黑体_GBK"/>
          <w:b w:val="0"/>
          <w:bCs w:val="0"/>
          <w:color w:val="auto"/>
          <w:sz w:val="30"/>
          <w:szCs w:val="30"/>
          <w:highlight w:val="none"/>
        </w:rPr>
        <w:t xml:space="preserve">一、总则</w:t>
      </w:r>
      <w:bookmarkEnd w:id="53"/>
      <w:r>
        <w:rPr>
          <w:color w:val="auto"/>
          <w:highlight w:val="none"/>
        </w:rPr>
      </w:r>
      <w:bookmarkEnd w:id="54"/>
      <w:r>
        <w:rPr>
          <w:color w:val="auto"/>
          <w:highlight w:val="none"/>
        </w:rPr>
      </w:r>
      <w:bookmarkEnd w:id="55"/>
      <w:r>
        <w:rPr>
          <w:color w:val="auto"/>
          <w:highlight w:val="none"/>
        </w:rPr>
      </w:r>
      <w:bookmarkEnd w:id="56"/>
      <w:r>
        <w:rPr>
          <w:color w:val="auto"/>
          <w:highlight w:val="none"/>
        </w:rPr>
      </w:r>
      <w:r/>
    </w:p>
    <w:p>
      <w:pPr>
        <w:pStyle w:val="877"/>
        <w:ind w:firstLine="420"/>
        <w:spacing w:before="0" w:after="0" w:line="240" w:lineRule="auto"/>
        <w:rPr>
          <w:rFonts w:hint="eastAsia" w:ascii="方正楷体_GBK" w:hAnsi="方正楷体_GBK" w:eastAsia="方正楷体_GBK" w:cs="方正楷体_GBK"/>
          <w:color w:val="auto"/>
          <w:highlight w:val="none"/>
        </w:rPr>
      </w:pPr>
      <w:r>
        <w:rPr>
          <w:color w:val="auto"/>
          <w:highlight w:val="none"/>
        </w:rPr>
      </w:r>
      <w:bookmarkStart w:id="62" w:name="_Hlt16619475"/>
      <w:r>
        <w:rPr>
          <w:color w:val="auto"/>
          <w:highlight w:val="none"/>
        </w:rPr>
      </w:r>
      <w:bookmarkEnd w:id="62"/>
      <w:r>
        <w:rPr>
          <w:color w:val="auto"/>
          <w:highlight w:val="none"/>
        </w:rPr>
      </w:r>
      <w:bookmarkStart w:id="63" w:name="_Toc458694821"/>
      <w:r>
        <w:rPr>
          <w:color w:val="auto"/>
          <w:highlight w:val="none"/>
        </w:rPr>
      </w:r>
      <w:bookmarkStart w:id="64" w:name="_Toc513029204"/>
      <w:r>
        <w:rPr>
          <w:color w:val="auto"/>
          <w:highlight w:val="none"/>
        </w:rPr>
      </w:r>
      <w:bookmarkStart w:id="65" w:name="_Toc16938520"/>
      <w:r>
        <w:rPr>
          <w:color w:val="auto"/>
          <w:highlight w:val="none"/>
        </w:rPr>
      </w:r>
      <w:bookmarkStart w:id="66" w:name="_Toc20823276"/>
      <w:r>
        <w:rPr>
          <w:rFonts w:hint="eastAsia" w:ascii="方正楷体_GBK" w:hAnsi="方正楷体_GBK" w:eastAsia="方正楷体_GBK" w:cs="方正楷体_GBK"/>
          <w:color w:val="auto"/>
          <w:highlight w:val="none"/>
        </w:rPr>
        <w:t xml:space="preserve">1</w:t>
      </w:r>
      <w:bookmarkEnd w:id="63"/>
      <w:r>
        <w:rPr>
          <w:rFonts w:hint="eastAsia" w:ascii="方正楷体_GBK" w:hAnsi="方正楷体_GBK" w:eastAsia="方正楷体_GBK" w:cs="方正楷体_GBK"/>
          <w:color w:val="auto"/>
          <w:highlight w:val="none"/>
        </w:rPr>
        <w:t xml:space="preserve">.招标方式</w:t>
      </w:r>
      <w:bookmarkEnd w:id="64"/>
      <w:r>
        <w:rPr>
          <w:color w:val="auto"/>
          <w:highlight w:val="none"/>
        </w:rPr>
      </w:r>
      <w:bookmarkEnd w:id="65"/>
      <w:r>
        <w:rPr>
          <w:color w:val="auto"/>
          <w:highlight w:val="none"/>
        </w:rPr>
      </w:r>
      <w:bookmarkEnd w:id="66"/>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rPr>
        <w:t xml:space="preserve">1.1 本次招标采取公开招标方式，本文件仅适用于招标公告中所述项目。</w:t>
      </w:r>
      <w:r>
        <w:rPr>
          <w:color w:val="auto"/>
          <w:highlight w:val="none"/>
        </w:rPr>
      </w:r>
      <w:r/>
    </w:p>
    <w:p>
      <w:pPr>
        <w:pStyle w:val="877"/>
        <w:ind w:firstLine="420"/>
        <w:spacing w:before="0" w:after="0" w:line="240" w:lineRule="auto"/>
        <w:rPr>
          <w:rFonts w:hint="eastAsia" w:ascii="方正楷体_GBK" w:hAnsi="方正楷体_GBK" w:eastAsia="方正楷体_GBK" w:cs="方正楷体_GBK"/>
          <w:color w:val="auto"/>
          <w:highlight w:val="none"/>
        </w:rPr>
      </w:pPr>
      <w:r>
        <w:rPr>
          <w:color w:val="auto"/>
          <w:highlight w:val="none"/>
        </w:rPr>
      </w:r>
      <w:bookmarkStart w:id="67" w:name="_Toc513029205"/>
      <w:r>
        <w:rPr>
          <w:color w:val="auto"/>
          <w:highlight w:val="none"/>
        </w:rPr>
      </w:r>
      <w:bookmarkStart w:id="68" w:name="_Toc20823277"/>
      <w:r>
        <w:rPr>
          <w:color w:val="auto"/>
          <w:highlight w:val="none"/>
        </w:rPr>
      </w:r>
      <w:bookmarkStart w:id="69" w:name="_Toc16938521"/>
      <w:r>
        <w:rPr>
          <w:rFonts w:hint="eastAsia" w:ascii="方正楷体_GBK" w:hAnsi="方正楷体_GBK" w:eastAsia="方正楷体_GBK" w:cs="方正楷体_GBK"/>
          <w:color w:val="auto"/>
          <w:highlight w:val="none"/>
        </w:rPr>
        <w:t xml:space="preserve">2.合格的投标人</w:t>
      </w:r>
      <w:bookmarkEnd w:id="67"/>
      <w:r>
        <w:rPr>
          <w:color w:val="auto"/>
          <w:highlight w:val="none"/>
        </w:rPr>
      </w:r>
      <w:bookmarkEnd w:id="68"/>
      <w:r>
        <w:rPr>
          <w:color w:val="auto"/>
          <w:highlight w:val="none"/>
        </w:rPr>
      </w:r>
      <w:bookmarkEnd w:id="69"/>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rPr>
        <w:t xml:space="preserve">2.1 满足招标公告对供应商资格要求的规定。</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rPr>
        <w:t xml:space="preserve">2.2 满足招标文件规定的实质性要求和条件。</w:t>
      </w:r>
      <w:r>
        <w:rPr>
          <w:color w:val="auto"/>
          <w:highlight w:val="none"/>
        </w:rPr>
      </w:r>
      <w:r/>
    </w:p>
    <w:p>
      <w:pPr>
        <w:pStyle w:val="877"/>
        <w:ind w:firstLine="420"/>
        <w:spacing w:before="0" w:after="0" w:line="240" w:lineRule="auto"/>
        <w:rPr>
          <w:rFonts w:hint="eastAsia" w:ascii="方正楷体_GBK" w:hAnsi="方正楷体_GBK" w:eastAsia="方正楷体_GBK" w:cs="方正楷体_GBK"/>
          <w:color w:val="auto"/>
          <w:highlight w:val="none"/>
        </w:rPr>
      </w:pPr>
      <w:r>
        <w:rPr>
          <w:color w:val="auto"/>
          <w:highlight w:val="none"/>
        </w:rPr>
      </w:r>
      <w:bookmarkStart w:id="70" w:name="_Toc16938522"/>
      <w:r>
        <w:rPr>
          <w:color w:val="auto"/>
          <w:highlight w:val="none"/>
        </w:rPr>
      </w:r>
      <w:bookmarkStart w:id="71" w:name="_Toc513029206"/>
      <w:r>
        <w:rPr>
          <w:color w:val="auto"/>
          <w:highlight w:val="none"/>
        </w:rPr>
      </w:r>
      <w:bookmarkStart w:id="72" w:name="_Toc20823278"/>
      <w:r>
        <w:rPr>
          <w:rFonts w:hint="eastAsia" w:ascii="方正楷体_GBK" w:hAnsi="方正楷体_GBK" w:eastAsia="方正楷体_GBK" w:cs="方正楷体_GBK"/>
          <w:color w:val="auto"/>
          <w:highlight w:val="none"/>
        </w:rPr>
        <w:t xml:space="preserve">3.适用法律</w:t>
      </w:r>
      <w:bookmarkEnd w:id="70"/>
      <w:r>
        <w:rPr>
          <w:color w:val="auto"/>
          <w:highlight w:val="none"/>
        </w:rPr>
      </w:r>
      <w:bookmarkEnd w:id="71"/>
      <w:r>
        <w:rPr>
          <w:color w:val="auto"/>
          <w:highlight w:val="none"/>
        </w:rPr>
      </w:r>
      <w:bookmarkEnd w:id="72"/>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rPr>
        <w:t xml:space="preserve">3.1 本次招标及由此产生的合同受中华人民共和国有关的法律法规制约和保护。</w:t>
      </w:r>
      <w:r>
        <w:rPr>
          <w:color w:val="auto"/>
          <w:highlight w:val="none"/>
        </w:rPr>
      </w:r>
      <w:r/>
    </w:p>
    <w:p>
      <w:pPr>
        <w:pStyle w:val="877"/>
        <w:ind w:firstLine="420"/>
        <w:spacing w:before="0" w:after="0" w:line="240" w:lineRule="auto"/>
        <w:rPr>
          <w:rFonts w:hint="eastAsia" w:ascii="方正楷体_GBK" w:hAnsi="方正楷体_GBK" w:eastAsia="方正楷体_GBK" w:cs="方正楷体_GBK"/>
          <w:color w:val="auto"/>
          <w:highlight w:val="none"/>
        </w:rPr>
      </w:pPr>
      <w:r>
        <w:rPr>
          <w:color w:val="auto"/>
          <w:highlight w:val="none"/>
        </w:rPr>
      </w:r>
      <w:bookmarkStart w:id="73" w:name="_Toc513029207"/>
      <w:r>
        <w:rPr>
          <w:color w:val="auto"/>
          <w:highlight w:val="none"/>
        </w:rPr>
      </w:r>
      <w:bookmarkStart w:id="74" w:name="_Toc462564067"/>
      <w:r>
        <w:rPr>
          <w:color w:val="auto"/>
          <w:highlight w:val="none"/>
        </w:rPr>
      </w:r>
      <w:bookmarkStart w:id="75" w:name="_Toc16938523"/>
      <w:r>
        <w:rPr>
          <w:color w:val="auto"/>
          <w:highlight w:val="none"/>
        </w:rPr>
      </w:r>
      <w:bookmarkStart w:id="76" w:name="_Toc20823279"/>
      <w:r>
        <w:rPr>
          <w:rFonts w:hint="eastAsia" w:ascii="方正楷体_GBK" w:hAnsi="方正楷体_GBK" w:eastAsia="方正楷体_GBK" w:cs="方正楷体_GBK"/>
          <w:color w:val="auto"/>
          <w:highlight w:val="none"/>
        </w:rPr>
        <w:t xml:space="preserve">4.投标费用</w:t>
      </w:r>
      <w:bookmarkEnd w:id="73"/>
      <w:r>
        <w:rPr>
          <w:color w:val="auto"/>
          <w:highlight w:val="none"/>
        </w:rPr>
      </w:r>
      <w:bookmarkEnd w:id="74"/>
      <w:r>
        <w:rPr>
          <w:color w:val="auto"/>
          <w:highlight w:val="none"/>
        </w:rPr>
      </w:r>
      <w:bookmarkEnd w:id="75"/>
      <w:r>
        <w:rPr>
          <w:color w:val="auto"/>
          <w:highlight w:val="none"/>
        </w:rPr>
      </w:r>
      <w:bookmarkEnd w:id="76"/>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rPr>
        <w:t xml:space="preserve">4.1 投标人应自行承担所有与参加投标有关的费用，无论投标过程中的做法和结果如何，交易中心在任何情况下均无义务和责任承担这些费用。</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rPr>
        <w:t xml:space="preserve">4.2 本次招标交易中心和采购人不收取标书工本费与中标服务费。</w:t>
      </w:r>
      <w:r>
        <w:rPr>
          <w:color w:val="auto"/>
          <w:highlight w:val="none"/>
        </w:rPr>
      </w:r>
      <w:r/>
    </w:p>
    <w:p>
      <w:pPr>
        <w:pStyle w:val="877"/>
        <w:ind w:firstLine="420"/>
        <w:spacing w:before="0" w:after="0" w:line="24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5.招标文件的约束力</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rPr>
        <w:t xml:space="preserve">5.1 投标人一旦参加本项目采购活动，即被认为接受了本文件的规定和约束。</w:t>
      </w:r>
      <w:r>
        <w:rPr>
          <w:color w:val="auto"/>
          <w:highlight w:val="none"/>
        </w:rPr>
      </w:r>
      <w:r/>
    </w:p>
    <w:p>
      <w:pPr>
        <w:pStyle w:val="876"/>
        <w:ind w:firstLine="465"/>
        <w:spacing w:before="145" w:after="145" w:line="240" w:lineRule="auto"/>
        <w:rPr>
          <w:rFonts w:hint="eastAsia" w:ascii="方正黑体_GBK" w:hAnsi="方正黑体_GBK" w:eastAsia="方正黑体_GBK" w:cs="方正黑体_GBK"/>
          <w:b w:val="0"/>
          <w:bCs w:val="0"/>
          <w:color w:val="auto"/>
          <w:sz w:val="30"/>
          <w:szCs w:val="30"/>
          <w:highlight w:val="none"/>
        </w:rPr>
      </w:pPr>
      <w:r>
        <w:rPr>
          <w:color w:val="auto"/>
          <w:highlight w:val="none"/>
        </w:rPr>
      </w:r>
      <w:bookmarkStart w:id="77" w:name="_Toc20823281"/>
      <w:r>
        <w:rPr>
          <w:color w:val="auto"/>
          <w:highlight w:val="none"/>
        </w:rPr>
      </w:r>
      <w:bookmarkStart w:id="78" w:name="_Toc120614215"/>
      <w:r>
        <w:rPr>
          <w:color w:val="auto"/>
          <w:highlight w:val="none"/>
        </w:rPr>
      </w:r>
      <w:bookmarkStart w:id="79" w:name="_Toc16938525"/>
      <w:r>
        <w:rPr>
          <w:color w:val="auto"/>
          <w:highlight w:val="none"/>
        </w:rPr>
      </w:r>
      <w:bookmarkStart w:id="80" w:name="_Toc513029209"/>
      <w:r>
        <w:rPr>
          <w:rFonts w:hint="eastAsia" w:ascii="方正黑体_GBK" w:hAnsi="方正黑体_GBK" w:eastAsia="方正黑体_GBK" w:cs="方正黑体_GBK"/>
          <w:b w:val="0"/>
          <w:bCs w:val="0"/>
          <w:color w:val="auto"/>
          <w:sz w:val="30"/>
          <w:szCs w:val="30"/>
          <w:highlight w:val="none"/>
        </w:rPr>
        <w:t xml:space="preserve">二、招标文件</w:t>
      </w:r>
      <w:bookmarkEnd w:id="77"/>
      <w:r>
        <w:rPr>
          <w:color w:val="auto"/>
          <w:highlight w:val="none"/>
        </w:rPr>
      </w:r>
      <w:bookmarkEnd w:id="78"/>
      <w:r>
        <w:rPr>
          <w:color w:val="auto"/>
          <w:highlight w:val="none"/>
        </w:rPr>
      </w:r>
      <w:bookmarkEnd w:id="79"/>
      <w:r>
        <w:rPr>
          <w:color w:val="auto"/>
          <w:highlight w:val="none"/>
        </w:rPr>
      </w:r>
      <w:bookmarkEnd w:id="80"/>
      <w:r>
        <w:rPr>
          <w:color w:val="auto"/>
          <w:highlight w:val="none"/>
        </w:rPr>
      </w:r>
      <w:r/>
    </w:p>
    <w:p>
      <w:pPr>
        <w:pStyle w:val="877"/>
        <w:ind w:firstLine="420"/>
        <w:spacing w:before="0" w:after="0" w:line="240" w:lineRule="auto"/>
        <w:rPr>
          <w:rFonts w:hint="eastAsia" w:ascii="方正楷体_GBK" w:hAnsi="方正楷体_GBK" w:eastAsia="方正楷体_GBK" w:cs="方正楷体_GBK"/>
          <w:color w:val="auto"/>
          <w:highlight w:val="none"/>
        </w:rPr>
      </w:pPr>
      <w:r>
        <w:rPr>
          <w:color w:val="auto"/>
          <w:highlight w:val="none"/>
        </w:rPr>
      </w:r>
      <w:bookmarkStart w:id="81" w:name="_Toc513029210"/>
      <w:r>
        <w:rPr>
          <w:color w:val="auto"/>
          <w:highlight w:val="none"/>
        </w:rPr>
      </w:r>
      <w:bookmarkStart w:id="82" w:name="_Toc16938526"/>
      <w:r>
        <w:rPr>
          <w:color w:val="auto"/>
          <w:highlight w:val="none"/>
        </w:rPr>
      </w:r>
      <w:bookmarkStart w:id="83" w:name="_Toc20823282"/>
      <w:r>
        <w:rPr>
          <w:rFonts w:hint="eastAsia" w:ascii="方正楷体_GBK" w:hAnsi="方正楷体_GBK" w:eastAsia="方正楷体_GBK" w:cs="方正楷体_GBK"/>
          <w:color w:val="auto"/>
          <w:highlight w:val="none"/>
        </w:rPr>
        <w:t xml:space="preserve">6.招标文件构成</w:t>
      </w:r>
      <w:bookmarkEnd w:id="81"/>
      <w:r>
        <w:rPr>
          <w:color w:val="auto"/>
          <w:highlight w:val="none"/>
        </w:rPr>
      </w:r>
      <w:bookmarkEnd w:id="82"/>
      <w:r>
        <w:rPr>
          <w:color w:val="auto"/>
          <w:highlight w:val="none"/>
        </w:rPr>
      </w:r>
      <w:bookmarkEnd w:id="83"/>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rPr>
        <w:t xml:space="preserve">6.1 招标文件由以下部分组成：</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rPr>
        <w:t xml:space="preserve">（1）投标邀请</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rPr>
        <w:t xml:space="preserve">（2）投标人须知</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rPr>
        <w:t xml:space="preserve">（3）合同文本</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rPr>
        <w:t xml:space="preserve">（4）采购需求</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rPr>
        <w:t xml:space="preserve">（5）评标方法与评标标准</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rPr>
        <w:t xml:space="preserve">（6）投标文件格式</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rPr>
        <w:t xml:space="preserve">投标人应仔细检查招标文件是否齐全，如有缺漏请立即与交易中心联系。</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color w:val="auto"/>
          <w:highlight w:val="none"/>
        </w:rPr>
      </w:r>
      <w:r/>
    </w:p>
    <w:p>
      <w:pPr>
        <w:pStyle w:val="877"/>
        <w:ind w:firstLine="420"/>
        <w:spacing w:before="0" w:after="0" w:line="240" w:lineRule="auto"/>
        <w:rPr>
          <w:rFonts w:hint="eastAsia" w:ascii="方正楷体_GBK" w:hAnsi="方正楷体_GBK" w:eastAsia="方正楷体_GBK" w:cs="方正楷体_GBK"/>
          <w:color w:val="auto"/>
          <w:highlight w:val="none"/>
        </w:rPr>
      </w:pPr>
      <w:r>
        <w:rPr>
          <w:color w:val="auto"/>
          <w:highlight w:val="none"/>
        </w:rPr>
      </w:r>
      <w:bookmarkStart w:id="84" w:name="_Toc462564070"/>
      <w:r>
        <w:rPr>
          <w:color w:val="auto"/>
          <w:highlight w:val="none"/>
        </w:rPr>
      </w:r>
      <w:bookmarkStart w:id="85" w:name="_Toc513029211"/>
      <w:r>
        <w:rPr>
          <w:color w:val="auto"/>
          <w:highlight w:val="none"/>
        </w:rPr>
      </w:r>
      <w:bookmarkStart w:id="86" w:name="_Toc16938527"/>
      <w:r>
        <w:rPr>
          <w:color w:val="auto"/>
          <w:highlight w:val="none"/>
        </w:rPr>
      </w:r>
      <w:bookmarkStart w:id="87" w:name="_Toc20823283"/>
      <w:r>
        <w:rPr>
          <w:rFonts w:hint="eastAsia" w:ascii="方正楷体_GBK" w:hAnsi="方正楷体_GBK" w:eastAsia="方正楷体_GBK" w:cs="方正楷体_GBK"/>
          <w:color w:val="auto"/>
          <w:highlight w:val="none"/>
        </w:rPr>
        <w:t xml:space="preserve">7.招标文件的澄清</w:t>
      </w:r>
      <w:bookmarkEnd w:id="84"/>
      <w:r>
        <w:rPr>
          <w:color w:val="auto"/>
          <w:highlight w:val="none"/>
        </w:rPr>
      </w:r>
      <w:bookmarkEnd w:id="85"/>
      <w:r>
        <w:rPr>
          <w:color w:val="auto"/>
          <w:highlight w:val="none"/>
        </w:rPr>
      </w:r>
      <w:bookmarkEnd w:id="86"/>
      <w:r>
        <w:rPr>
          <w:color w:val="auto"/>
          <w:highlight w:val="none"/>
        </w:rPr>
      </w:r>
      <w:bookmarkEnd w:id="87"/>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rPr>
        <w:t xml:space="preserve">7.1 任何要求对招标文件进行澄清的投标人，应在投标截止期十日前按招标公告中的通讯地址，以书面形式通知交易中心。</w:t>
      </w:r>
      <w:r>
        <w:rPr>
          <w:color w:val="auto"/>
          <w:highlight w:val="none"/>
        </w:rPr>
      </w:r>
      <w:r/>
    </w:p>
    <w:p>
      <w:pPr>
        <w:pStyle w:val="877"/>
        <w:ind w:firstLine="420"/>
        <w:spacing w:before="0" w:after="0" w:line="240" w:lineRule="auto"/>
        <w:rPr>
          <w:rFonts w:hint="eastAsia" w:ascii="方正楷体_GBK" w:hAnsi="方正楷体_GBK" w:eastAsia="方正楷体_GBK" w:cs="方正楷体_GBK"/>
          <w:color w:val="auto"/>
          <w:highlight w:val="none"/>
        </w:rPr>
      </w:pPr>
      <w:r>
        <w:rPr>
          <w:color w:val="auto"/>
          <w:highlight w:val="none"/>
        </w:rPr>
      </w:r>
      <w:bookmarkStart w:id="88" w:name="_Toc16938528"/>
      <w:r>
        <w:rPr>
          <w:color w:val="auto"/>
          <w:highlight w:val="none"/>
        </w:rPr>
      </w:r>
      <w:bookmarkStart w:id="89" w:name="_Toc462564071"/>
      <w:r>
        <w:rPr>
          <w:color w:val="auto"/>
          <w:highlight w:val="none"/>
        </w:rPr>
      </w:r>
      <w:bookmarkStart w:id="90" w:name="_Toc20823284"/>
      <w:r>
        <w:rPr>
          <w:color w:val="auto"/>
          <w:highlight w:val="none"/>
        </w:rPr>
      </w:r>
      <w:bookmarkStart w:id="91" w:name="_Toc513029212"/>
      <w:r>
        <w:rPr>
          <w:rFonts w:hint="eastAsia" w:ascii="方正楷体_GBK" w:hAnsi="方正楷体_GBK" w:eastAsia="方正楷体_GBK" w:cs="方正楷体_GBK"/>
          <w:color w:val="auto"/>
          <w:highlight w:val="none"/>
        </w:rPr>
        <w:t xml:space="preserve">8.招标文件的修改</w:t>
      </w:r>
      <w:bookmarkEnd w:id="88"/>
      <w:r>
        <w:rPr>
          <w:color w:val="auto"/>
          <w:highlight w:val="none"/>
        </w:rPr>
      </w:r>
      <w:bookmarkEnd w:id="89"/>
      <w:r>
        <w:rPr>
          <w:color w:val="auto"/>
          <w:highlight w:val="none"/>
        </w:rPr>
      </w:r>
      <w:bookmarkEnd w:id="90"/>
      <w:r>
        <w:rPr>
          <w:color w:val="auto"/>
          <w:highlight w:val="none"/>
        </w:rPr>
      </w:r>
      <w:bookmarkEnd w:id="91"/>
      <w:r>
        <w:rPr>
          <w:color w:val="auto"/>
          <w:highlight w:val="none"/>
        </w:rPr>
      </w:r>
      <w:r/>
    </w:p>
    <w:p>
      <w:pPr>
        <w:pStyle w:val="873"/>
        <w:ind w:firstLine="420"/>
        <w:rPr>
          <w:rFonts w:hint="eastAsia" w:ascii="宋体" w:hAnsi="宋体"/>
          <w:color w:val="auto"/>
          <w:sz w:val="24"/>
          <w:highlight w:val="none"/>
        </w:rPr>
      </w:pPr>
      <w:r>
        <w:rPr>
          <w:color w:val="auto"/>
          <w:highlight w:val="none"/>
        </w:rPr>
      </w:r>
      <w:bookmarkStart w:id="92" w:name="_Toc513029213"/>
      <w:r>
        <w:rPr>
          <w:color w:val="auto"/>
          <w:highlight w:val="none"/>
        </w:rPr>
      </w:r>
      <w:bookmarkStart w:id="93" w:name="_Toc462564072"/>
      <w:r>
        <w:rPr>
          <w:color w:val="auto"/>
          <w:highlight w:val="none"/>
        </w:rPr>
      </w:r>
      <w:bookmarkStart w:id="94" w:name="_Toc20823285"/>
      <w:r>
        <w:rPr>
          <w:color w:val="auto"/>
          <w:highlight w:val="none"/>
        </w:rPr>
      </w:r>
      <w:bookmarkStart w:id="95" w:name="_Toc120614216"/>
      <w:r>
        <w:rPr>
          <w:color w:val="auto"/>
          <w:highlight w:val="none"/>
        </w:rPr>
      </w:r>
      <w:bookmarkStart w:id="96" w:name="_Toc16938529"/>
      <w:r>
        <w:rPr>
          <w:rFonts w:hint="eastAsia" w:ascii="宋体" w:hAnsi="宋体"/>
          <w:color w:val="auto"/>
          <w:sz w:val="24"/>
          <w:highlight w:val="none"/>
        </w:rPr>
        <w:t xml:space="preserve">8.1 在投标截止时间前，交易中心可以对招标文件进行修改。招标文件的修改将在原公告媒体发布更正公告，更正内容将作为招标文件的组成部分，并对投标人具有约束力。</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rPr>
        <w:t xml:space="preserve">8.2 投标人应在提交投标文件截止时间前，关注原公告媒体有关本项目的更正公告，根据更正公告内容自行决定是否需要重新制作和提交投标文件，并承担由此产生的相应责任。</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rPr>
        <w:t xml:space="preserve">8.3 交易中心有权按照法定的要求推迟投标截止日期和开标日期，并在原公告媒体发布更正公告。</w:t>
      </w:r>
      <w:r>
        <w:rPr>
          <w:color w:val="auto"/>
          <w:highlight w:val="none"/>
        </w:rPr>
      </w:r>
      <w:r/>
    </w:p>
    <w:p>
      <w:pPr>
        <w:pStyle w:val="876"/>
        <w:ind w:firstLine="465"/>
        <w:spacing w:before="145" w:after="145" w:line="240" w:lineRule="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三、投标文件的编制</w:t>
      </w:r>
      <w:bookmarkEnd w:id="92"/>
      <w:r>
        <w:rPr>
          <w:color w:val="auto"/>
          <w:highlight w:val="none"/>
        </w:rPr>
      </w:r>
      <w:bookmarkEnd w:id="93"/>
      <w:r>
        <w:rPr>
          <w:color w:val="auto"/>
          <w:highlight w:val="none"/>
        </w:rPr>
      </w:r>
      <w:bookmarkEnd w:id="94"/>
      <w:r>
        <w:rPr>
          <w:color w:val="auto"/>
          <w:highlight w:val="none"/>
        </w:rPr>
      </w:r>
      <w:bookmarkEnd w:id="95"/>
      <w:r>
        <w:rPr>
          <w:color w:val="auto"/>
          <w:highlight w:val="none"/>
        </w:rPr>
      </w:r>
      <w:bookmarkEnd w:id="96"/>
      <w:r>
        <w:rPr>
          <w:color w:val="auto"/>
          <w:highlight w:val="none"/>
        </w:rPr>
      </w:r>
      <w:r/>
    </w:p>
    <w:p>
      <w:pPr>
        <w:pStyle w:val="877"/>
        <w:ind w:firstLine="420"/>
        <w:spacing w:before="0" w:after="0" w:line="240" w:lineRule="auto"/>
        <w:rPr>
          <w:rFonts w:hint="eastAsia" w:ascii="方正楷体_GBK" w:hAnsi="方正楷体_GBK" w:eastAsia="方正楷体_GBK" w:cs="方正楷体_GBK"/>
          <w:color w:val="auto"/>
          <w:highlight w:val="none"/>
        </w:rPr>
      </w:pPr>
      <w:r>
        <w:rPr>
          <w:color w:val="auto"/>
          <w:highlight w:val="none"/>
        </w:rPr>
      </w:r>
      <w:bookmarkStart w:id="97" w:name="_Toc20823286"/>
      <w:r>
        <w:rPr>
          <w:color w:val="auto"/>
          <w:highlight w:val="none"/>
        </w:rPr>
      </w:r>
      <w:bookmarkStart w:id="98" w:name="_Toc462564073"/>
      <w:r>
        <w:rPr>
          <w:color w:val="auto"/>
          <w:highlight w:val="none"/>
        </w:rPr>
      </w:r>
      <w:bookmarkStart w:id="99" w:name="_Toc16938530"/>
      <w:r>
        <w:rPr>
          <w:color w:val="auto"/>
          <w:highlight w:val="none"/>
        </w:rPr>
      </w:r>
      <w:bookmarkStart w:id="100" w:name="_Toc513029214"/>
      <w:r>
        <w:rPr>
          <w:rFonts w:hint="eastAsia" w:ascii="方正楷体_GBK" w:hAnsi="方正楷体_GBK" w:eastAsia="方正楷体_GBK" w:cs="方正楷体_GBK"/>
          <w:color w:val="auto"/>
          <w:highlight w:val="none"/>
        </w:rPr>
        <w:t xml:space="preserve">9.投标文件的语言及度量衡单位</w:t>
      </w:r>
      <w:bookmarkEnd w:id="97"/>
      <w:r>
        <w:rPr>
          <w:color w:val="auto"/>
          <w:highlight w:val="none"/>
        </w:rPr>
      </w:r>
      <w:bookmarkEnd w:id="98"/>
      <w:r>
        <w:rPr>
          <w:color w:val="auto"/>
          <w:highlight w:val="none"/>
        </w:rPr>
      </w:r>
      <w:bookmarkEnd w:id="99"/>
      <w:r>
        <w:rPr>
          <w:color w:val="auto"/>
          <w:highlight w:val="none"/>
        </w:rPr>
      </w:r>
      <w:bookmarkEnd w:id="100"/>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rPr>
        <w:t xml:space="preserve">9.1 投标人提交的投标文件以及投标人与交易中心就有关投标的所有来往通知、函件和文件均应使用简体中文。</w:t>
      </w:r>
      <w:r>
        <w:rPr>
          <w:color w:val="auto"/>
          <w:highlight w:val="none"/>
        </w:rPr>
      </w:r>
      <w:r/>
    </w:p>
    <w:p>
      <w:pPr>
        <w:pStyle w:val="873"/>
        <w:ind w:firstLine="420"/>
        <w:rPr>
          <w:rFonts w:hint="eastAsia" w:ascii="宋体" w:hAnsi="宋体"/>
          <w:color w:val="auto"/>
          <w:sz w:val="24"/>
          <w:szCs w:val="22"/>
          <w:highlight w:val="none"/>
        </w:rPr>
      </w:pPr>
      <w:r>
        <w:rPr>
          <w:rFonts w:hint="eastAsia" w:ascii="宋体" w:hAnsi="宋体"/>
          <w:color w:val="auto"/>
          <w:sz w:val="24"/>
          <w:szCs w:val="22"/>
          <w:highlight w:val="none"/>
        </w:rPr>
        <w:t xml:space="preserve">9.2 除技术性能另有规定外，投标文件所使用的度量衡单位，均须采用国家法定计量单位。</w:t>
      </w:r>
      <w:r>
        <w:rPr>
          <w:color w:val="auto"/>
          <w:highlight w:val="none"/>
        </w:rPr>
      </w:r>
      <w:r/>
    </w:p>
    <w:p>
      <w:pPr>
        <w:pStyle w:val="877"/>
        <w:ind w:firstLine="420"/>
        <w:spacing w:before="0" w:after="0" w:line="240" w:lineRule="auto"/>
        <w:rPr>
          <w:rFonts w:hint="eastAsia" w:ascii="方正楷体_GBK" w:hAnsi="方正楷体_GBK" w:eastAsia="方正楷体_GBK" w:cs="方正楷体_GBK"/>
          <w:color w:val="auto"/>
          <w:highlight w:val="none"/>
        </w:rPr>
      </w:pPr>
      <w:r>
        <w:rPr>
          <w:color w:val="auto"/>
          <w:highlight w:val="none"/>
        </w:rPr>
      </w:r>
      <w:bookmarkStart w:id="101" w:name="_Toc16938531"/>
      <w:r>
        <w:rPr>
          <w:color w:val="auto"/>
          <w:highlight w:val="none"/>
        </w:rPr>
      </w:r>
      <w:bookmarkStart w:id="102" w:name="_Toc462564074"/>
      <w:r>
        <w:rPr>
          <w:color w:val="auto"/>
          <w:highlight w:val="none"/>
        </w:rPr>
      </w:r>
      <w:bookmarkStart w:id="103" w:name="_Toc513029215"/>
      <w:r>
        <w:rPr>
          <w:color w:val="auto"/>
          <w:highlight w:val="none"/>
        </w:rPr>
      </w:r>
      <w:bookmarkStart w:id="104" w:name="_Toc20823287"/>
      <w:r>
        <w:rPr>
          <w:rFonts w:hint="eastAsia" w:ascii="方正楷体_GBK" w:hAnsi="方正楷体_GBK" w:eastAsia="方正楷体_GBK" w:cs="方正楷体_GBK"/>
          <w:color w:val="auto"/>
          <w:highlight w:val="none"/>
        </w:rPr>
        <w:t xml:space="preserve">10.投标文件构成</w:t>
      </w:r>
      <w:bookmarkEnd w:id="101"/>
      <w:r>
        <w:rPr>
          <w:color w:val="auto"/>
          <w:highlight w:val="none"/>
        </w:rPr>
      </w:r>
      <w:bookmarkEnd w:id="102"/>
      <w:r>
        <w:rPr>
          <w:color w:val="auto"/>
          <w:highlight w:val="none"/>
        </w:rPr>
      </w:r>
      <w:bookmarkEnd w:id="103"/>
      <w:r>
        <w:rPr>
          <w:color w:val="auto"/>
          <w:highlight w:val="none"/>
        </w:rPr>
      </w:r>
      <w:bookmarkEnd w:id="104"/>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rPr>
        <w:t xml:space="preserve">10.1 投标人编写的投标文件应包括资格证明文件、符合性证明文件、投标分项报价表、响应及偏离表、其他证明文件、投标函、开标一览表等部分。</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rPr>
        <w:t xml:space="preserve">10.2 如标书制作工具中格式和内容与“江苏政府采购网”发布的招标文件不一致，以“江苏政府采购网”发布的招标文件为准。</w:t>
      </w:r>
      <w:r>
        <w:rPr>
          <w:color w:val="auto"/>
          <w:highlight w:val="none"/>
        </w:rPr>
      </w:r>
      <w:r/>
    </w:p>
    <w:p>
      <w:pPr>
        <w:pStyle w:val="877"/>
        <w:ind w:firstLine="420"/>
        <w:spacing w:before="0" w:after="0" w:line="240" w:lineRule="auto"/>
        <w:rPr>
          <w:rFonts w:hint="eastAsia" w:ascii="方正楷体_GBK" w:hAnsi="方正楷体_GBK" w:eastAsia="方正楷体_GBK" w:cs="方正楷体_GBK"/>
          <w:color w:val="auto"/>
          <w:highlight w:val="none"/>
        </w:rPr>
      </w:pPr>
      <w:r>
        <w:rPr>
          <w:color w:val="auto"/>
          <w:highlight w:val="none"/>
        </w:rPr>
      </w:r>
      <w:bookmarkStart w:id="105" w:name="_Hlt26670360"/>
      <w:r>
        <w:rPr>
          <w:color w:val="auto"/>
          <w:highlight w:val="none"/>
        </w:rPr>
      </w:r>
      <w:bookmarkEnd w:id="105"/>
      <w:r>
        <w:rPr>
          <w:color w:val="auto"/>
          <w:highlight w:val="none"/>
        </w:rPr>
      </w:r>
      <w:bookmarkStart w:id="106" w:name="_Toc513029219"/>
      <w:r>
        <w:rPr>
          <w:color w:val="auto"/>
          <w:highlight w:val="none"/>
        </w:rPr>
      </w:r>
      <w:bookmarkStart w:id="107" w:name="_Toc49090509"/>
      <w:r>
        <w:rPr>
          <w:color w:val="auto"/>
          <w:highlight w:val="none"/>
        </w:rPr>
      </w:r>
      <w:bookmarkStart w:id="108" w:name="_Toc14577357"/>
      <w:r>
        <w:rPr>
          <w:color w:val="auto"/>
          <w:highlight w:val="none"/>
        </w:rPr>
      </w:r>
      <w:bookmarkStart w:id="109" w:name="_Toc513029216"/>
      <w:r>
        <w:rPr>
          <w:color w:val="auto"/>
          <w:highlight w:val="none"/>
        </w:rPr>
      </w:r>
      <w:bookmarkStart w:id="110" w:name="_Toc14577354"/>
      <w:r>
        <w:rPr>
          <w:color w:val="auto"/>
          <w:highlight w:val="none"/>
        </w:rPr>
      </w:r>
      <w:bookmarkStart w:id="111" w:name="_Toc49090507"/>
      <w:r>
        <w:rPr>
          <w:color w:val="auto"/>
          <w:highlight w:val="none"/>
        </w:rPr>
      </w:r>
      <w:bookmarkStart w:id="112" w:name="_Hlt26668975"/>
      <w:r>
        <w:rPr>
          <w:color w:val="auto"/>
          <w:highlight w:val="none"/>
        </w:rPr>
      </w:r>
      <w:bookmarkEnd w:id="112"/>
      <w:r>
        <w:rPr>
          <w:color w:val="auto"/>
          <w:highlight w:val="none"/>
        </w:rPr>
      </w:r>
      <w:bookmarkStart w:id="113" w:name="_Hlt26954838"/>
      <w:r>
        <w:rPr>
          <w:color w:val="auto"/>
          <w:highlight w:val="none"/>
        </w:rPr>
      </w:r>
      <w:bookmarkEnd w:id="113"/>
      <w:r>
        <w:rPr>
          <w:rFonts w:hint="eastAsia" w:ascii="方正楷体_GBK" w:hAnsi="方正楷体_GBK" w:eastAsia="方正楷体_GBK" w:cs="方正楷体_GBK"/>
          <w:color w:val="auto"/>
          <w:highlight w:val="none"/>
        </w:rPr>
        <w:t xml:space="preserve">11.证明投标人及投标标的符合招标文件规定的文件</w:t>
      </w:r>
      <w:bookmarkEnd w:id="106"/>
      <w:r>
        <w:rPr>
          <w:color w:val="auto"/>
          <w:highlight w:val="none"/>
        </w:rPr>
      </w:r>
      <w:bookmarkEnd w:id="107"/>
      <w:r>
        <w:rPr>
          <w:color w:val="auto"/>
          <w:highlight w:val="none"/>
        </w:rPr>
      </w:r>
      <w:bookmarkEnd w:id="108"/>
      <w:r>
        <w:rPr>
          <w:color w:val="auto"/>
          <w:highlight w:val="none"/>
        </w:rPr>
      </w:r>
      <w:r/>
    </w:p>
    <w:p>
      <w:pPr>
        <w:pStyle w:val="873"/>
        <w:ind w:firstLine="420"/>
        <w:rPr>
          <w:rFonts w:hint="eastAsia" w:ascii="宋体" w:hAnsi="宋体"/>
          <w:color w:val="auto"/>
          <w:sz w:val="24"/>
          <w:highlight w:val="none"/>
        </w:rPr>
      </w:pPr>
      <w:r>
        <w:rPr>
          <w:color w:val="auto"/>
          <w:highlight w:val="none"/>
        </w:rPr>
      </w:r>
      <w:bookmarkEnd w:id="109"/>
      <w:r>
        <w:rPr>
          <w:color w:val="auto"/>
          <w:highlight w:val="none"/>
        </w:rPr>
      </w:r>
      <w:bookmarkEnd w:id="110"/>
      <w:r>
        <w:rPr>
          <w:color w:val="auto"/>
          <w:highlight w:val="none"/>
        </w:rPr>
      </w:r>
      <w:bookmarkEnd w:id="111"/>
      <w:r>
        <w:rPr>
          <w:color w:val="auto"/>
          <w:highlight w:val="none"/>
        </w:rPr>
      </w:r>
      <w:bookmarkStart w:id="114" w:name="_Toc49090508"/>
      <w:r>
        <w:rPr>
          <w:color w:val="auto"/>
          <w:highlight w:val="none"/>
        </w:rPr>
      </w:r>
      <w:bookmarkStart w:id="115" w:name="_Toc14577355"/>
      <w:r>
        <w:rPr>
          <w:rFonts w:hint="eastAsia" w:ascii="宋体" w:hAnsi="宋体"/>
          <w:color w:val="auto"/>
          <w:sz w:val="24"/>
          <w:highlight w:val="none"/>
        </w:rPr>
        <w:t xml:space="preserve">11.1 投标人应按照法律、法规、规章和规范性文件以及招标文件要求提交证明文件，证明其投标标的符合招标文件规定。</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rPr>
        <w:t xml:space="preserve">11.2 招标文件对证明文件无明确形式要求的，证明文件可以以文字资料、图纸和数据等形式提交。</w:t>
      </w:r>
      <w:r>
        <w:rPr>
          <w:color w:val="auto"/>
          <w:highlight w:val="none"/>
        </w:rPr>
      </w:r>
      <w:r/>
    </w:p>
    <w:p>
      <w:pPr>
        <w:pStyle w:val="877"/>
        <w:ind w:firstLine="420"/>
        <w:spacing w:before="0" w:after="0" w:line="24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12</w:t>
      </w:r>
      <w:bookmarkEnd w:id="114"/>
      <w:r>
        <w:rPr>
          <w:color w:val="auto"/>
          <w:highlight w:val="none"/>
        </w:rPr>
      </w:r>
      <w:bookmarkEnd w:id="115"/>
      <w:r>
        <w:rPr>
          <w:rFonts w:hint="eastAsia" w:ascii="方正楷体_GBK" w:hAnsi="方正楷体_GBK" w:eastAsia="方正楷体_GBK" w:cs="方正楷体_GBK"/>
          <w:color w:val="auto"/>
          <w:highlight w:val="none"/>
        </w:rPr>
        <w:t xml:space="preserve">.投标分项报价表（如有）</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rPr>
        <w:t xml:space="preserve">12.1 投</w:t>
      </w:r>
      <w:bookmarkStart w:id="116" w:name="_Hlt26954840"/>
      <w:r>
        <w:rPr>
          <w:color w:val="auto"/>
          <w:highlight w:val="none"/>
        </w:rPr>
      </w:r>
      <w:bookmarkEnd w:id="116"/>
      <w:r>
        <w:rPr>
          <w:rFonts w:hint="eastAsia" w:ascii="宋体" w:hAnsi="宋体"/>
          <w:color w:val="auto"/>
          <w:sz w:val="24"/>
          <w:highlight w:val="none"/>
        </w:rPr>
        <w:t xml:space="preserve">标人应按照招标文件规定格式填报</w:t>
      </w:r>
      <w:bookmarkStart w:id="117" w:name="_Hlt26670399"/>
      <w:r>
        <w:rPr>
          <w:color w:val="auto"/>
          <w:highlight w:val="none"/>
        </w:rPr>
      </w:r>
      <w:bookmarkEnd w:id="117"/>
      <w:r>
        <w:rPr>
          <w:rFonts w:hint="eastAsia" w:ascii="宋体" w:hAnsi="宋体"/>
          <w:color w:val="auto"/>
          <w:sz w:val="24"/>
          <w:highlight w:val="none"/>
        </w:rPr>
        <w:t xml:space="preserve">投标分项报价表。</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rPr>
        <w:t xml:space="preserve">12.2 投标文件中的单价和总价无特殊规定的采用人民币报价，以元为单位标注。招标文件另有规定的按规定执行。</w:t>
      </w:r>
      <w:r>
        <w:rPr>
          <w:color w:val="auto"/>
          <w:highlight w:val="none"/>
        </w:rPr>
      </w:r>
      <w:r/>
    </w:p>
    <w:p>
      <w:pPr>
        <w:pStyle w:val="877"/>
        <w:ind w:firstLine="420"/>
        <w:spacing w:before="0" w:after="0" w:line="240" w:lineRule="auto"/>
        <w:rPr>
          <w:rFonts w:hint="eastAsia" w:ascii="方正楷体_GBK" w:hAnsi="方正楷体_GBK" w:eastAsia="方正楷体_GBK" w:cs="方正楷体_GBK"/>
          <w:color w:val="auto"/>
          <w:highlight w:val="none"/>
        </w:rPr>
      </w:pPr>
      <w:r>
        <w:rPr>
          <w:color w:val="auto"/>
          <w:highlight w:val="none"/>
        </w:rPr>
      </w:r>
      <w:bookmarkStart w:id="118" w:name="_Hlt26670403"/>
      <w:r>
        <w:rPr>
          <w:color w:val="auto"/>
          <w:highlight w:val="none"/>
        </w:rPr>
      </w:r>
      <w:bookmarkEnd w:id="118"/>
      <w:r>
        <w:rPr>
          <w:color w:val="auto"/>
          <w:highlight w:val="none"/>
        </w:rPr>
      </w:r>
      <w:bookmarkStart w:id="119" w:name="_Hlt26954846"/>
      <w:r>
        <w:rPr>
          <w:color w:val="auto"/>
          <w:highlight w:val="none"/>
        </w:rPr>
      </w:r>
      <w:bookmarkEnd w:id="119"/>
      <w:r>
        <w:rPr>
          <w:color w:val="auto"/>
          <w:highlight w:val="none"/>
        </w:rPr>
      </w:r>
      <w:bookmarkStart w:id="120" w:name="_Hlt26668983"/>
      <w:r>
        <w:rPr>
          <w:color w:val="auto"/>
          <w:highlight w:val="none"/>
        </w:rPr>
      </w:r>
      <w:bookmarkEnd w:id="120"/>
      <w:r>
        <w:rPr>
          <w:color w:val="auto"/>
          <w:highlight w:val="none"/>
        </w:rPr>
      </w:r>
      <w:bookmarkStart w:id="121" w:name="_Hlt26954848"/>
      <w:r>
        <w:rPr>
          <w:color w:val="auto"/>
          <w:highlight w:val="none"/>
        </w:rPr>
      </w:r>
      <w:bookmarkEnd w:id="121"/>
      <w:r>
        <w:rPr>
          <w:color w:val="auto"/>
          <w:highlight w:val="none"/>
        </w:rPr>
      </w:r>
      <w:bookmarkStart w:id="122" w:name="_Hlt26954842"/>
      <w:r>
        <w:rPr>
          <w:color w:val="auto"/>
          <w:highlight w:val="none"/>
        </w:rPr>
      </w:r>
      <w:bookmarkEnd w:id="122"/>
      <w:r>
        <w:rPr>
          <w:color w:val="auto"/>
          <w:highlight w:val="none"/>
        </w:rPr>
      </w:r>
      <w:bookmarkStart w:id="123" w:name="_Hlt26954731"/>
      <w:r>
        <w:rPr>
          <w:color w:val="auto"/>
          <w:highlight w:val="none"/>
        </w:rPr>
      </w:r>
      <w:bookmarkEnd w:id="123"/>
      <w:r>
        <w:rPr>
          <w:color w:val="auto"/>
          <w:highlight w:val="none"/>
        </w:rPr>
      </w:r>
      <w:bookmarkStart w:id="124" w:name="_Hlt26670486"/>
      <w:r>
        <w:rPr>
          <w:color w:val="auto"/>
          <w:highlight w:val="none"/>
        </w:rPr>
      </w:r>
      <w:bookmarkEnd w:id="124"/>
      <w:r>
        <w:rPr>
          <w:color w:val="auto"/>
          <w:highlight w:val="none"/>
        </w:rPr>
      </w:r>
      <w:bookmarkStart w:id="125" w:name="_Hlt26954844"/>
      <w:r>
        <w:rPr>
          <w:color w:val="auto"/>
          <w:highlight w:val="none"/>
        </w:rPr>
      </w:r>
      <w:bookmarkEnd w:id="125"/>
      <w:r>
        <w:rPr>
          <w:color w:val="auto"/>
          <w:highlight w:val="none"/>
        </w:rPr>
      </w:r>
      <w:bookmarkStart w:id="126" w:name="_Hlt26670425"/>
      <w:r>
        <w:rPr>
          <w:color w:val="auto"/>
          <w:highlight w:val="none"/>
        </w:rPr>
      </w:r>
      <w:bookmarkEnd w:id="126"/>
      <w:r>
        <w:rPr>
          <w:color w:val="auto"/>
          <w:highlight w:val="none"/>
        </w:rPr>
      </w:r>
      <w:bookmarkStart w:id="127" w:name="_Hlt26670482"/>
      <w:r>
        <w:rPr>
          <w:color w:val="auto"/>
          <w:highlight w:val="none"/>
        </w:rPr>
      </w:r>
      <w:bookmarkEnd w:id="127"/>
      <w:r>
        <w:rPr>
          <w:rFonts w:hint="eastAsia" w:ascii="方正楷体_GBK" w:hAnsi="方正楷体_GBK" w:eastAsia="方正楷体_GBK" w:cs="方正楷体_GBK"/>
          <w:color w:val="auto"/>
          <w:highlight w:val="none"/>
        </w:rPr>
        <w:t xml:space="preserve">13.响应及偏离表</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lang w:val="zh-CN"/>
        </w:rPr>
        <w:t xml:space="preserve">13.1 投标人需对招标文件中的技术要求与商务要求逐项作出响应</w:t>
      </w:r>
      <w:r>
        <w:rPr>
          <w:rFonts w:hint="eastAsia" w:ascii="宋体" w:hAnsi="宋体"/>
          <w:color w:val="auto"/>
          <w:sz w:val="24"/>
          <w:highlight w:val="none"/>
        </w:rPr>
        <w:t xml:space="preserve">或</w:t>
      </w:r>
      <w:r>
        <w:rPr>
          <w:rFonts w:hint="eastAsia" w:ascii="宋体" w:hAnsi="宋体"/>
          <w:color w:val="auto"/>
          <w:sz w:val="24"/>
          <w:highlight w:val="none"/>
          <w:lang w:val="zh-CN"/>
        </w:rPr>
        <w:t xml:space="preserve">偏离说明。</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lang w:val="zh-CN"/>
        </w:rPr>
        <w:t xml:space="preserve">13.2 投标人可以在投标文件中提供认为需要的其他技术文件或说明。</w:t>
      </w:r>
      <w:r>
        <w:rPr>
          <w:color w:val="auto"/>
          <w:highlight w:val="none"/>
        </w:rPr>
      </w:r>
      <w:r/>
    </w:p>
    <w:p>
      <w:pPr>
        <w:pStyle w:val="877"/>
        <w:ind w:firstLine="420"/>
        <w:spacing w:before="0" w:after="0" w:line="240" w:lineRule="auto"/>
        <w:rPr>
          <w:rFonts w:hint="eastAsia" w:ascii="方正楷体_GBK" w:hAnsi="方正楷体_GBK" w:eastAsia="方正楷体_GBK" w:cs="方正楷体_GBK"/>
          <w:color w:val="auto"/>
          <w:highlight w:val="none"/>
        </w:rPr>
      </w:pPr>
      <w:r>
        <w:rPr>
          <w:color w:val="auto"/>
          <w:highlight w:val="none"/>
        </w:rPr>
      </w:r>
      <w:bookmarkStart w:id="128" w:name="_Toc14577359"/>
      <w:r>
        <w:rPr>
          <w:color w:val="auto"/>
          <w:highlight w:val="none"/>
        </w:rPr>
      </w:r>
      <w:bookmarkStart w:id="129" w:name="_Toc49090510"/>
      <w:r>
        <w:rPr>
          <w:rFonts w:hint="eastAsia" w:ascii="方正楷体_GBK" w:hAnsi="方正楷体_GBK" w:eastAsia="方正楷体_GBK" w:cs="方正楷体_GBK"/>
          <w:color w:val="auto"/>
          <w:highlight w:val="none"/>
        </w:rPr>
        <w:t xml:space="preserve">14.投标函和开标一览表</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lang w:val="zh-CN"/>
        </w:rPr>
        <w:t xml:space="preserve">14.1 投标人应按照招标文件规定格式完整、正确填报投标函、开标一览表。</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lang w:val="zh-CN"/>
        </w:rPr>
        <w:t xml:space="preserve">14.2 对于采用货币报价的项目，开标一览表中的投标总报价应与</w:t>
      </w:r>
      <w:r>
        <w:rPr>
          <w:rFonts w:hint="eastAsia" w:ascii="宋体" w:hAnsi="宋体"/>
          <w:color w:val="auto"/>
          <w:sz w:val="24"/>
          <w:highlight w:val="none"/>
        </w:rPr>
        <w:t xml:space="preserve">投标分项报价表</w:t>
      </w:r>
      <w:r>
        <w:rPr>
          <w:rFonts w:hint="eastAsia" w:ascii="宋体" w:hAnsi="宋体"/>
          <w:color w:val="auto"/>
          <w:sz w:val="24"/>
          <w:highlight w:val="none"/>
          <w:lang w:val="zh-CN"/>
        </w:rPr>
        <w:t xml:space="preserve">中的投标总报价一致，如不一致评标时以开标一览表中价格为准。</w:t>
      </w:r>
      <w:r>
        <w:rPr>
          <w:color w:val="auto"/>
          <w:highlight w:val="none"/>
        </w:rPr>
      </w:r>
      <w:r/>
    </w:p>
    <w:p>
      <w:pPr>
        <w:pStyle w:val="877"/>
        <w:ind w:firstLine="420"/>
        <w:spacing w:before="0" w:after="0" w:line="240" w:lineRule="auto"/>
        <w:rPr>
          <w:rFonts w:hint="eastAsia" w:ascii="方正楷体_GBK" w:hAnsi="方正楷体_GBK" w:eastAsia="方正楷体_GBK" w:cs="方正楷体_GBK"/>
          <w:color w:val="auto"/>
          <w:highlight w:val="none"/>
        </w:rPr>
      </w:pPr>
      <w:r>
        <w:rPr>
          <w:color w:val="auto"/>
          <w:highlight w:val="none"/>
        </w:rPr>
      </w:r>
      <w:bookmarkEnd w:id="128"/>
      <w:r>
        <w:rPr>
          <w:color w:val="auto"/>
          <w:highlight w:val="none"/>
        </w:rPr>
      </w:r>
      <w:bookmarkEnd w:id="129"/>
      <w:r>
        <w:rPr>
          <w:color w:val="auto"/>
          <w:highlight w:val="none"/>
        </w:rPr>
      </w:r>
      <w:bookmarkStart w:id="130" w:name="_Toc49090511"/>
      <w:r>
        <w:rPr>
          <w:color w:val="auto"/>
          <w:highlight w:val="none"/>
        </w:rPr>
      </w:r>
      <w:bookmarkStart w:id="131" w:name="_Hlt26670489"/>
      <w:r>
        <w:rPr>
          <w:color w:val="auto"/>
          <w:highlight w:val="none"/>
        </w:rPr>
      </w:r>
      <w:bookmarkEnd w:id="131"/>
      <w:r>
        <w:rPr>
          <w:color w:val="auto"/>
          <w:highlight w:val="none"/>
        </w:rPr>
      </w:r>
      <w:bookmarkStart w:id="132" w:name="_Hlt26954734"/>
      <w:r>
        <w:rPr>
          <w:color w:val="auto"/>
          <w:highlight w:val="none"/>
        </w:rPr>
      </w:r>
      <w:bookmarkEnd w:id="132"/>
      <w:r>
        <w:rPr>
          <w:color w:val="auto"/>
          <w:highlight w:val="none"/>
        </w:rPr>
      </w:r>
      <w:bookmarkStart w:id="133" w:name="_Hlt26954850"/>
      <w:r>
        <w:rPr>
          <w:color w:val="auto"/>
          <w:highlight w:val="none"/>
        </w:rPr>
      </w:r>
      <w:bookmarkEnd w:id="133"/>
      <w:r>
        <w:rPr>
          <w:color w:val="auto"/>
          <w:highlight w:val="none"/>
        </w:rPr>
      </w:r>
      <w:bookmarkStart w:id="134" w:name="_Toc14577360"/>
      <w:r>
        <w:rPr>
          <w:rFonts w:hint="eastAsia" w:ascii="方正楷体_GBK" w:hAnsi="方正楷体_GBK" w:eastAsia="方正楷体_GBK" w:cs="方正楷体_GBK"/>
          <w:color w:val="auto"/>
          <w:highlight w:val="none"/>
        </w:rPr>
        <w:t xml:space="preserve">15.投标有效期</w:t>
      </w:r>
      <w:bookmarkEnd w:id="130"/>
      <w:r>
        <w:rPr>
          <w:color w:val="auto"/>
          <w:highlight w:val="none"/>
        </w:rPr>
      </w:r>
      <w:bookmarkEnd w:id="134"/>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lang w:val="zh-CN"/>
        </w:rPr>
        <w:t xml:space="preserve">15.1 投标有效期为招标公告规定的开标之日起六十天。投标有效期比规定短的将被视为未实质性响应招标文件而被拒绝。</w:t>
      </w:r>
      <w:r>
        <w:rPr>
          <w:color w:val="auto"/>
          <w:highlight w:val="none"/>
        </w:rPr>
      </w:r>
      <w:r/>
    </w:p>
    <w:p>
      <w:pPr>
        <w:pStyle w:val="877"/>
        <w:ind w:firstLine="420"/>
        <w:spacing w:before="0" w:after="0" w:line="24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16.投标有效期的延长</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rPr>
          <w:color w:val="auto"/>
          <w:highlight w:val="none"/>
        </w:rPr>
      </w:r>
      <w:r/>
    </w:p>
    <w:p>
      <w:pPr>
        <w:pStyle w:val="876"/>
        <w:ind w:firstLine="465"/>
        <w:spacing w:before="145" w:after="145" w:line="240" w:lineRule="auto"/>
        <w:rPr>
          <w:rFonts w:hint="eastAsia" w:ascii="方正黑体_GBK" w:hAnsi="方正黑体_GBK" w:eastAsia="方正黑体_GBK" w:cs="方正黑体_GBK"/>
          <w:b w:val="0"/>
          <w:bCs w:val="0"/>
          <w:color w:val="auto"/>
          <w:sz w:val="30"/>
          <w:szCs w:val="30"/>
          <w:highlight w:val="none"/>
        </w:rPr>
      </w:pPr>
      <w:r>
        <w:rPr>
          <w:color w:val="auto"/>
          <w:highlight w:val="none"/>
        </w:rPr>
      </w:r>
      <w:bookmarkStart w:id="135" w:name="_Toc120614217"/>
      <w:r>
        <w:rPr>
          <w:color w:val="auto"/>
          <w:highlight w:val="none"/>
        </w:rPr>
      </w:r>
      <w:bookmarkStart w:id="136" w:name="_Toc20823296"/>
      <w:r>
        <w:rPr>
          <w:color w:val="auto"/>
          <w:highlight w:val="none"/>
        </w:rPr>
      </w:r>
      <w:bookmarkStart w:id="137" w:name="_Toc20823309"/>
      <w:r>
        <w:rPr>
          <w:color w:val="auto"/>
          <w:highlight w:val="none"/>
        </w:rPr>
      </w:r>
      <w:bookmarkStart w:id="138" w:name="_Toc513029237"/>
      <w:r>
        <w:rPr>
          <w:color w:val="auto"/>
          <w:highlight w:val="none"/>
        </w:rPr>
      </w:r>
      <w:bookmarkStart w:id="139" w:name="_Toc16938540"/>
      <w:r>
        <w:rPr>
          <w:color w:val="auto"/>
          <w:highlight w:val="none"/>
        </w:rPr>
      </w:r>
      <w:bookmarkStart w:id="140" w:name="_Toc513029224"/>
      <w:r>
        <w:rPr>
          <w:color w:val="auto"/>
          <w:highlight w:val="none"/>
        </w:rPr>
      </w:r>
      <w:bookmarkStart w:id="141" w:name="_Hlt26954739"/>
      <w:r>
        <w:rPr>
          <w:color w:val="auto"/>
          <w:highlight w:val="none"/>
        </w:rPr>
      </w:r>
      <w:bookmarkEnd w:id="141"/>
      <w:r>
        <w:rPr>
          <w:color w:val="auto"/>
          <w:highlight w:val="none"/>
        </w:rPr>
      </w:r>
      <w:bookmarkStart w:id="142" w:name="_Toc16938553"/>
      <w:r>
        <w:rPr>
          <w:color w:val="auto"/>
          <w:highlight w:val="none"/>
        </w:rPr>
      </w:r>
      <w:bookmarkStart w:id="143" w:name="_Hlt26954852"/>
      <w:r>
        <w:rPr>
          <w:color w:val="auto"/>
          <w:highlight w:val="none"/>
        </w:rPr>
      </w:r>
      <w:bookmarkEnd w:id="143"/>
      <w:r>
        <w:rPr>
          <w:rFonts w:hint="eastAsia" w:ascii="方正黑体_GBK" w:hAnsi="方正黑体_GBK" w:eastAsia="方正黑体_GBK" w:cs="方正黑体_GBK"/>
          <w:b w:val="0"/>
          <w:bCs w:val="0"/>
          <w:color w:val="auto"/>
          <w:sz w:val="30"/>
          <w:szCs w:val="30"/>
          <w:highlight w:val="none"/>
        </w:rPr>
        <w:t xml:space="preserve">四、投标文件的递交</w:t>
      </w:r>
      <w:bookmarkEnd w:id="135"/>
      <w:r>
        <w:rPr>
          <w:color w:val="auto"/>
          <w:highlight w:val="none"/>
        </w:rPr>
      </w:r>
      <w:bookmarkEnd w:id="136"/>
      <w:r>
        <w:rPr>
          <w:color w:val="auto"/>
          <w:highlight w:val="none"/>
        </w:rPr>
      </w:r>
      <w:bookmarkEnd w:id="139"/>
      <w:r>
        <w:rPr>
          <w:color w:val="auto"/>
          <w:highlight w:val="none"/>
        </w:rPr>
      </w:r>
      <w:bookmarkEnd w:id="140"/>
      <w:r>
        <w:rPr>
          <w:color w:val="auto"/>
          <w:highlight w:val="none"/>
        </w:rPr>
      </w:r>
      <w:r/>
    </w:p>
    <w:p>
      <w:pPr>
        <w:pStyle w:val="877"/>
        <w:ind w:firstLine="420"/>
        <w:spacing w:before="0" w:after="0" w:line="240" w:lineRule="auto"/>
        <w:rPr>
          <w:rFonts w:hint="eastAsia" w:ascii="方正楷体_GBK" w:hAnsi="方正楷体_GBK" w:eastAsia="方正楷体_GBK" w:cs="方正楷体_GBK"/>
          <w:color w:val="auto"/>
          <w:highlight w:val="none"/>
        </w:rPr>
      </w:pPr>
      <w:r>
        <w:rPr>
          <w:color w:val="auto"/>
          <w:highlight w:val="none"/>
        </w:rPr>
      </w:r>
      <w:bookmarkStart w:id="144" w:name="_Toc513029225"/>
      <w:r>
        <w:rPr>
          <w:color w:val="auto"/>
          <w:highlight w:val="none"/>
        </w:rPr>
      </w:r>
      <w:bookmarkStart w:id="145" w:name="_Toc20823297"/>
      <w:r>
        <w:rPr>
          <w:color w:val="auto"/>
          <w:highlight w:val="none"/>
        </w:rPr>
      </w:r>
      <w:bookmarkStart w:id="146" w:name="_Toc16938541"/>
      <w:r>
        <w:rPr>
          <w:color w:val="auto"/>
          <w:highlight w:val="none"/>
        </w:rPr>
      </w:r>
      <w:bookmarkStart w:id="147" w:name="_Toc462564084"/>
      <w:r>
        <w:rPr>
          <w:rFonts w:hint="eastAsia" w:ascii="方正楷体_GBK" w:hAnsi="方正楷体_GBK" w:eastAsia="方正楷体_GBK" w:cs="方正楷体_GBK"/>
          <w:color w:val="auto"/>
          <w:highlight w:val="none"/>
        </w:rPr>
        <w:t xml:space="preserve">17.投标文件</w:t>
      </w:r>
      <w:bookmarkEnd w:id="144"/>
      <w:r>
        <w:rPr>
          <w:color w:val="auto"/>
          <w:highlight w:val="none"/>
        </w:rPr>
      </w:r>
      <w:bookmarkEnd w:id="145"/>
      <w:r>
        <w:rPr>
          <w:color w:val="auto"/>
          <w:highlight w:val="none"/>
        </w:rPr>
      </w:r>
      <w:bookmarkEnd w:id="146"/>
      <w:r>
        <w:rPr>
          <w:color w:val="auto"/>
          <w:highlight w:val="none"/>
        </w:rPr>
      </w:r>
      <w:bookmarkEnd w:id="147"/>
      <w:r>
        <w:rPr>
          <w:rFonts w:hint="eastAsia" w:ascii="方正楷体_GBK" w:hAnsi="方正楷体_GBK" w:eastAsia="方正楷体_GBK" w:cs="方正楷体_GBK"/>
          <w:color w:val="auto"/>
          <w:highlight w:val="none"/>
        </w:rPr>
        <w:t xml:space="preserve">的递交</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lang w:val="zh-CN"/>
        </w:rPr>
        <w:t xml:space="preserve">17.1 投标人应当按照《操作手册》规定，在招标公告规定的投标截止时间前制作并上传电子投标文件。</w:t>
      </w:r>
      <w:bookmarkStart w:id="148" w:name="_Toc20823298"/>
      <w:r>
        <w:rPr>
          <w:color w:val="auto"/>
          <w:highlight w:val="none"/>
        </w:rPr>
      </w:r>
      <w:bookmarkStart w:id="149" w:name="_Toc513029226"/>
      <w:r>
        <w:rPr>
          <w:color w:val="auto"/>
          <w:highlight w:val="none"/>
        </w:rPr>
      </w:r>
      <w:bookmarkStart w:id="150" w:name="_Toc16938542"/>
      <w:r>
        <w:rPr>
          <w:color w:val="auto"/>
          <w:highlight w:val="none"/>
        </w:rPr>
      </w:r>
      <w:r/>
    </w:p>
    <w:p>
      <w:pPr>
        <w:pStyle w:val="873"/>
        <w:ind w:firstLine="420"/>
        <w:rPr>
          <w:rFonts w:hint="eastAsia" w:ascii="宋体" w:hAnsi="宋体"/>
          <w:color w:val="auto"/>
          <w:sz w:val="24"/>
          <w:highlight w:val="none"/>
        </w:rPr>
      </w:pPr>
      <w:r>
        <w:rPr>
          <w:color w:val="auto"/>
          <w:highlight w:val="none"/>
        </w:rPr>
      </w:r>
      <w:bookmarkEnd w:id="148"/>
      <w:r>
        <w:rPr>
          <w:color w:val="auto"/>
          <w:highlight w:val="none"/>
        </w:rPr>
      </w:r>
      <w:bookmarkEnd w:id="149"/>
      <w:r>
        <w:rPr>
          <w:color w:val="auto"/>
          <w:highlight w:val="none"/>
        </w:rPr>
      </w:r>
      <w:bookmarkEnd w:id="150"/>
      <w:r>
        <w:rPr>
          <w:rFonts w:hint="eastAsia" w:ascii="宋体" w:hAnsi="宋体"/>
          <w:color w:val="auto"/>
          <w:sz w:val="24"/>
          <w:highlight w:val="none"/>
          <w:lang w:val="zh-CN"/>
        </w:rPr>
        <w:t xml:space="preserve">1</w:t>
      </w:r>
      <w:r>
        <w:rPr>
          <w:rFonts w:hint="eastAsia" w:ascii="宋体" w:hAnsi="宋体"/>
          <w:color w:val="auto"/>
          <w:sz w:val="24"/>
          <w:highlight w:val="none"/>
        </w:rPr>
        <w:t xml:space="preserve">7</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 投标人应充分考虑网络环境、网络带宽等因素</w:t>
      </w:r>
      <w:r>
        <w:rPr>
          <w:rFonts w:hint="eastAsia" w:ascii="宋体" w:hAnsi="宋体"/>
          <w:color w:val="auto"/>
          <w:sz w:val="24"/>
          <w:highlight w:val="none"/>
        </w:rPr>
        <w:t xml:space="preserve">可能对投标产生的影响</w:t>
      </w:r>
      <w:r>
        <w:rPr>
          <w:rFonts w:hint="eastAsia" w:ascii="宋体" w:hAnsi="宋体"/>
          <w:color w:val="auto"/>
          <w:sz w:val="24"/>
          <w:highlight w:val="none"/>
          <w:lang w:val="zh-CN"/>
        </w:rPr>
        <w:t xml:space="preserve">，如因投标人自身原因造成的电子投标文件上传不成功的，按照本招标文件第二章第2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.1条规定做无效投标处理。</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lang w:val="zh-CN"/>
        </w:rPr>
        <w:t xml:space="preserve">1</w:t>
      </w:r>
      <w:r>
        <w:rPr>
          <w:rFonts w:hint="eastAsia" w:ascii="宋体" w:hAnsi="宋体"/>
          <w:color w:val="auto"/>
          <w:sz w:val="24"/>
          <w:highlight w:val="none"/>
        </w:rPr>
        <w:t xml:space="preserve">7</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3</w:t>
      </w:r>
      <w:r>
        <w:rPr>
          <w:rFonts w:hint="eastAsia" w:ascii="宋体" w:hAnsi="宋体"/>
          <w:color w:val="auto"/>
          <w:sz w:val="24"/>
          <w:highlight w:val="none"/>
          <w:lang w:val="zh-CN"/>
        </w:rPr>
        <w:t xml:space="preserve"> 交易中心可以按照规定，通过修改招标文件酌情延长投标截止时间，在此情况下，投标人的所有权利和义务均以延长后新的截止时间为准。</w:t>
      </w:r>
      <w:r>
        <w:rPr>
          <w:color w:val="auto"/>
          <w:highlight w:val="none"/>
        </w:rPr>
      </w:r>
      <w:r/>
    </w:p>
    <w:p>
      <w:pPr>
        <w:pStyle w:val="877"/>
        <w:ind w:firstLine="420"/>
        <w:spacing w:before="0" w:after="0" w:line="240" w:lineRule="auto"/>
        <w:rPr>
          <w:rFonts w:hint="eastAsia" w:ascii="方正楷体_GBK" w:hAnsi="方正楷体_GBK" w:eastAsia="方正楷体_GBK" w:cs="方正楷体_GBK"/>
          <w:color w:val="auto"/>
          <w:highlight w:val="none"/>
        </w:rPr>
      </w:pPr>
      <w:r>
        <w:rPr>
          <w:color w:val="auto"/>
          <w:highlight w:val="none"/>
        </w:rPr>
      </w:r>
      <w:bookmarkStart w:id="151" w:name="_Toc20823299"/>
      <w:r>
        <w:rPr>
          <w:color w:val="auto"/>
          <w:highlight w:val="none"/>
        </w:rPr>
      </w:r>
      <w:bookmarkStart w:id="152" w:name="_Toc16938543"/>
      <w:r>
        <w:rPr>
          <w:color w:val="auto"/>
          <w:highlight w:val="none"/>
        </w:rPr>
      </w:r>
      <w:bookmarkStart w:id="153" w:name="_Toc513029227"/>
      <w:r>
        <w:rPr>
          <w:rFonts w:hint="eastAsia" w:ascii="方正楷体_GBK" w:hAnsi="方正楷体_GBK" w:eastAsia="方正楷体_GBK" w:cs="方正楷体_GBK"/>
          <w:color w:val="auto"/>
          <w:highlight w:val="none"/>
        </w:rPr>
        <w:t xml:space="preserve">18.投标文件</w:t>
      </w:r>
      <w:bookmarkEnd w:id="151"/>
      <w:r>
        <w:rPr>
          <w:color w:val="auto"/>
          <w:highlight w:val="none"/>
        </w:rPr>
      </w:r>
      <w:bookmarkEnd w:id="152"/>
      <w:r>
        <w:rPr>
          <w:color w:val="auto"/>
          <w:highlight w:val="none"/>
        </w:rPr>
      </w:r>
      <w:bookmarkEnd w:id="153"/>
      <w:r>
        <w:rPr>
          <w:rFonts w:hint="eastAsia" w:ascii="方正楷体_GBK" w:hAnsi="方正楷体_GBK" w:eastAsia="方正楷体_GBK" w:cs="方正楷体_GBK"/>
          <w:color w:val="auto"/>
          <w:highlight w:val="none"/>
        </w:rPr>
        <w:t xml:space="preserve">的拒收</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lang w:val="zh-CN"/>
        </w:rPr>
        <w:t xml:space="preserve">1</w:t>
      </w:r>
      <w:r>
        <w:rPr>
          <w:rFonts w:hint="eastAsia" w:ascii="宋体" w:hAnsi="宋体"/>
          <w:color w:val="auto"/>
          <w:sz w:val="24"/>
          <w:highlight w:val="none"/>
        </w:rPr>
        <w:t xml:space="preserve">8</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投标截止时间后上传的任何投标文件将被拒绝。</w:t>
      </w:r>
      <w:r>
        <w:rPr>
          <w:color w:val="auto"/>
          <w:highlight w:val="none"/>
        </w:rPr>
      </w:r>
      <w:r/>
    </w:p>
    <w:p>
      <w:pPr>
        <w:pStyle w:val="877"/>
        <w:ind w:firstLine="420"/>
        <w:spacing w:before="0" w:after="0" w:line="240" w:lineRule="auto"/>
        <w:rPr>
          <w:rFonts w:hint="eastAsia" w:ascii="方正楷体_GBK" w:hAnsi="方正楷体_GBK" w:eastAsia="方正楷体_GBK" w:cs="方正楷体_GBK"/>
          <w:color w:val="auto"/>
          <w:highlight w:val="none"/>
        </w:rPr>
      </w:pPr>
      <w:r>
        <w:rPr>
          <w:color w:val="auto"/>
          <w:highlight w:val="none"/>
        </w:rPr>
      </w:r>
      <w:bookmarkStart w:id="154" w:name="_Toc16938544"/>
      <w:r>
        <w:rPr>
          <w:color w:val="auto"/>
          <w:highlight w:val="none"/>
        </w:rPr>
      </w:r>
      <w:bookmarkStart w:id="155" w:name="_Toc513029228"/>
      <w:r>
        <w:rPr>
          <w:color w:val="auto"/>
          <w:highlight w:val="none"/>
        </w:rPr>
      </w:r>
      <w:bookmarkStart w:id="156" w:name="_Toc20823300"/>
      <w:r>
        <w:rPr>
          <w:rFonts w:hint="eastAsia" w:ascii="方正楷体_GBK" w:hAnsi="方正楷体_GBK" w:eastAsia="方正楷体_GBK" w:cs="方正楷体_GBK"/>
          <w:color w:val="auto"/>
          <w:highlight w:val="none"/>
        </w:rPr>
        <w:t xml:space="preserve">19.投标文件的撤回和修改</w:t>
      </w:r>
      <w:bookmarkEnd w:id="154"/>
      <w:r>
        <w:rPr>
          <w:color w:val="auto"/>
          <w:highlight w:val="none"/>
        </w:rPr>
      </w:r>
      <w:bookmarkEnd w:id="155"/>
      <w:r>
        <w:rPr>
          <w:color w:val="auto"/>
          <w:highlight w:val="none"/>
        </w:rPr>
      </w:r>
      <w:bookmarkEnd w:id="156"/>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.1 投标文件的撤回</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.1.1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投标人可在投标截止时间前撤回其电子投标文件，具体操作方法见《操作手册》。</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.1.2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投标人撤回电子投标文件，则认为其不再参与本项目投标活动。</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.2 投标文件的修改</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.2.1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投标人可在投标截止时间前对其电子投标文件进行修改，具体操作方法见《操作手册》。</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.2.2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投标截止时间之后，投标人不得对其电子投标文件作任何修改。</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.3 在投标截止时间至招标文件中规定的投标有效期满之间的这段时间内，投标人不得撤回其投标。</w:t>
      </w:r>
      <w:bookmarkStart w:id="157" w:name="_Toc16938545"/>
      <w:r>
        <w:rPr>
          <w:color w:val="auto"/>
          <w:highlight w:val="none"/>
        </w:rPr>
      </w:r>
      <w:bookmarkStart w:id="158" w:name="_Toc120614218"/>
      <w:r>
        <w:rPr>
          <w:color w:val="auto"/>
          <w:highlight w:val="none"/>
        </w:rPr>
      </w:r>
      <w:bookmarkStart w:id="159" w:name="_Toc20823301"/>
      <w:r>
        <w:rPr>
          <w:color w:val="auto"/>
          <w:highlight w:val="none"/>
        </w:rPr>
      </w:r>
      <w:bookmarkStart w:id="160" w:name="_Toc513029229"/>
      <w:r>
        <w:rPr>
          <w:color w:val="auto"/>
          <w:highlight w:val="none"/>
        </w:rPr>
      </w:r>
      <w:r/>
    </w:p>
    <w:p>
      <w:pPr>
        <w:pStyle w:val="876"/>
        <w:ind w:firstLine="465"/>
        <w:spacing w:before="145" w:after="145" w:line="240" w:lineRule="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五、开标与评标</w:t>
      </w:r>
      <w:bookmarkEnd w:id="157"/>
      <w:r>
        <w:rPr>
          <w:color w:val="auto"/>
          <w:highlight w:val="none"/>
        </w:rPr>
      </w:r>
      <w:bookmarkEnd w:id="158"/>
      <w:r>
        <w:rPr>
          <w:color w:val="auto"/>
          <w:highlight w:val="none"/>
        </w:rPr>
      </w:r>
      <w:bookmarkEnd w:id="159"/>
      <w:r>
        <w:rPr>
          <w:color w:val="auto"/>
          <w:highlight w:val="none"/>
        </w:rPr>
      </w:r>
      <w:bookmarkEnd w:id="160"/>
      <w:r>
        <w:rPr>
          <w:color w:val="auto"/>
          <w:highlight w:val="none"/>
        </w:rPr>
      </w:r>
      <w:r/>
    </w:p>
    <w:p>
      <w:pPr>
        <w:pStyle w:val="877"/>
        <w:ind w:firstLine="420"/>
        <w:spacing w:before="0" w:after="0" w:line="240" w:lineRule="auto"/>
        <w:rPr>
          <w:rFonts w:hint="eastAsia" w:ascii="方正楷体_GBK" w:hAnsi="方正楷体_GBK" w:eastAsia="方正楷体_GBK" w:cs="方正楷体_GBK"/>
          <w:color w:val="auto"/>
          <w:highlight w:val="none"/>
        </w:rPr>
      </w:pPr>
      <w:r>
        <w:rPr>
          <w:color w:val="auto"/>
          <w:highlight w:val="none"/>
        </w:rPr>
      </w:r>
      <w:bookmarkStart w:id="161" w:name="_Toc513029230"/>
      <w:r>
        <w:rPr>
          <w:color w:val="auto"/>
          <w:highlight w:val="none"/>
        </w:rPr>
      </w:r>
      <w:bookmarkStart w:id="162" w:name="_Toc20823302"/>
      <w:r>
        <w:rPr>
          <w:color w:val="auto"/>
          <w:highlight w:val="none"/>
        </w:rPr>
      </w:r>
      <w:bookmarkStart w:id="163" w:name="_Toc16938546"/>
      <w:r>
        <w:rPr>
          <w:rFonts w:hint="eastAsia" w:ascii="方正楷体_GBK" w:hAnsi="方正楷体_GBK" w:eastAsia="方正楷体_GBK" w:cs="方正楷体_GBK"/>
          <w:color w:val="auto"/>
          <w:highlight w:val="none"/>
        </w:rPr>
        <w:t xml:space="preserve">20.开标</w:t>
      </w:r>
      <w:bookmarkEnd w:id="161"/>
      <w:r>
        <w:rPr>
          <w:color w:val="auto"/>
          <w:highlight w:val="none"/>
        </w:rPr>
      </w:r>
      <w:bookmarkEnd w:id="162"/>
      <w:r>
        <w:rPr>
          <w:color w:val="auto"/>
          <w:highlight w:val="none"/>
        </w:rPr>
      </w:r>
      <w:bookmarkEnd w:id="163"/>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0</w:t>
      </w:r>
      <w:r>
        <w:rPr>
          <w:rFonts w:hint="eastAsia" w:ascii="宋体" w:hAnsi="宋体"/>
          <w:color w:val="auto"/>
          <w:sz w:val="24"/>
          <w:highlight w:val="none"/>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0</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2 </w:t>
      </w:r>
      <w:r>
        <w:rPr>
          <w:rFonts w:hint="eastAsia" w:ascii="宋体" w:hAnsi="宋体"/>
          <w:color w:val="auto"/>
          <w:sz w:val="24"/>
          <w:highlight w:val="none"/>
          <w:lang w:val="zh-CN"/>
        </w:rPr>
        <w:t xml:space="preserve">投标人在开标过程中涉及到的投标文件解密、开标结果确认等工作，应按照《操作手册》规定执行。</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0</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3 </w:t>
      </w:r>
      <w:r>
        <w:rPr>
          <w:rFonts w:hint="eastAsia" w:ascii="宋体" w:hAnsi="宋体"/>
          <w:color w:val="auto"/>
          <w:sz w:val="24"/>
          <w:highlight w:val="none"/>
          <w:lang w:val="zh-CN"/>
        </w:rPr>
        <w:t xml:space="preserve">投标人如果对开标过程和开标结果有疑义，应当根据《操作手册》规定提出，苏采云系统中《开标记录表》公布后5分钟内未提出的，视同认可开标结果。</w:t>
      </w:r>
      <w:r>
        <w:rPr>
          <w:color w:val="auto"/>
          <w:highlight w:val="none"/>
        </w:rPr>
      </w:r>
      <w:r/>
    </w:p>
    <w:p>
      <w:pPr>
        <w:pStyle w:val="877"/>
        <w:ind w:firstLine="420"/>
        <w:spacing w:before="0" w:after="0" w:line="240" w:lineRule="auto"/>
        <w:rPr>
          <w:rFonts w:hint="eastAsia" w:ascii="方正楷体_GBK" w:hAnsi="方正楷体_GBK" w:eastAsia="方正楷体_GBK" w:cs="方正楷体_GBK"/>
          <w:color w:val="auto"/>
          <w:highlight w:val="none"/>
        </w:rPr>
      </w:pPr>
      <w:r>
        <w:rPr>
          <w:color w:val="auto"/>
          <w:highlight w:val="none"/>
        </w:rPr>
      </w:r>
      <w:bookmarkStart w:id="164" w:name="_Toc513029231"/>
      <w:r>
        <w:rPr>
          <w:color w:val="auto"/>
          <w:highlight w:val="none"/>
        </w:rPr>
      </w:r>
      <w:bookmarkStart w:id="165" w:name="_Toc16938547"/>
      <w:r>
        <w:rPr>
          <w:color w:val="auto"/>
          <w:highlight w:val="none"/>
        </w:rPr>
      </w:r>
      <w:bookmarkStart w:id="166" w:name="_Toc20823303"/>
      <w:r>
        <w:rPr>
          <w:rFonts w:hint="eastAsia" w:ascii="方正楷体_GBK" w:hAnsi="方正楷体_GBK" w:eastAsia="方正楷体_GBK" w:cs="方正楷体_GBK"/>
          <w:color w:val="auto"/>
          <w:highlight w:val="none"/>
        </w:rPr>
        <w:t xml:space="preserve">21.评标</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1</w:t>
      </w:r>
      <w:r>
        <w:rPr>
          <w:rFonts w:hint="eastAsia" w:ascii="宋体" w:hAnsi="宋体"/>
          <w:color w:val="auto"/>
          <w:sz w:val="24"/>
          <w:highlight w:val="none"/>
          <w:lang w:val="zh-CN"/>
        </w:rPr>
        <w:t xml:space="preserve">.1 </w:t>
      </w:r>
      <w:r>
        <w:rPr>
          <w:rFonts w:hint="eastAsia" w:ascii="宋体" w:hAnsi="宋体"/>
          <w:color w:val="auto"/>
          <w:sz w:val="24"/>
          <w:highlight w:val="none"/>
        </w:rPr>
        <w:t xml:space="preserve">评标由</w:t>
      </w:r>
      <w:r>
        <w:rPr>
          <w:rFonts w:hint="eastAsia" w:ascii="宋体" w:hAnsi="宋体"/>
          <w:color w:val="auto"/>
          <w:sz w:val="24"/>
          <w:highlight w:val="none"/>
          <w:lang w:val="zh-CN"/>
        </w:rPr>
        <w:t xml:space="preserve">依法组建的评标委员会（以下简称“评委会”）进行。</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1</w:t>
      </w:r>
      <w:r>
        <w:rPr>
          <w:rFonts w:hint="eastAsia" w:ascii="宋体" w:hAnsi="宋体"/>
          <w:color w:val="auto"/>
          <w:sz w:val="24"/>
          <w:highlight w:val="none"/>
          <w:lang w:val="zh-CN"/>
        </w:rPr>
        <w:t xml:space="preserve">.2 评委会由采购人代表和有关方面专家组成，人员构成符合政府采购有关规定。</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1</w:t>
      </w:r>
      <w:r>
        <w:rPr>
          <w:rFonts w:hint="eastAsia" w:ascii="宋体" w:hAnsi="宋体"/>
          <w:color w:val="auto"/>
          <w:sz w:val="24"/>
          <w:highlight w:val="none"/>
          <w:lang w:val="zh-CN"/>
        </w:rPr>
        <w:t xml:space="preserve">.3</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评委会独立工作，负责评审所有投标文件并</w:t>
      </w:r>
      <w:r>
        <w:rPr>
          <w:rFonts w:hint="eastAsia" w:ascii="宋体" w:hAnsi="宋体"/>
          <w:color w:val="auto"/>
          <w:sz w:val="24"/>
          <w:highlight w:val="none"/>
        </w:rPr>
        <w:t xml:space="preserve">推荐</w:t>
      </w:r>
      <w:r>
        <w:rPr>
          <w:rFonts w:hint="eastAsia" w:ascii="宋体" w:hAnsi="宋体"/>
          <w:color w:val="auto"/>
          <w:sz w:val="24"/>
          <w:highlight w:val="none"/>
          <w:lang w:val="zh-CN"/>
        </w:rPr>
        <w:t xml:space="preserve">中标候选人，</w:t>
      </w:r>
      <w:r>
        <w:rPr>
          <w:rFonts w:hint="eastAsia" w:ascii="宋体" w:hAnsi="宋体"/>
          <w:color w:val="auto"/>
          <w:sz w:val="24"/>
          <w:highlight w:val="none"/>
        </w:rPr>
        <w:t xml:space="preserve">或根据采购人授权直接确定中标人</w:t>
      </w:r>
      <w:r>
        <w:rPr>
          <w:rFonts w:hint="eastAsia" w:ascii="宋体" w:hAnsi="宋体"/>
          <w:color w:val="auto"/>
          <w:sz w:val="24"/>
          <w:highlight w:val="none"/>
          <w:lang w:val="zh-CN"/>
        </w:rPr>
        <w:t xml:space="preserve">。</w:t>
      </w:r>
      <w:r>
        <w:rPr>
          <w:color w:val="auto"/>
          <w:highlight w:val="none"/>
        </w:rPr>
      </w:r>
      <w:r/>
    </w:p>
    <w:p>
      <w:pPr>
        <w:pStyle w:val="877"/>
        <w:ind w:firstLine="420"/>
        <w:spacing w:before="0" w:after="0" w:line="24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22.评标过程的保密与公正</w:t>
      </w:r>
      <w:r>
        <w:rPr>
          <w:color w:val="auto"/>
          <w:highlight w:val="none"/>
        </w:rPr>
      </w:r>
      <w:r/>
    </w:p>
    <w:p>
      <w:pPr>
        <w:pStyle w:val="873"/>
        <w:ind w:firstLine="420"/>
        <w:rPr>
          <w:rFonts w:hint="eastAsia" w:ascii="宋体" w:hAnsi="宋体"/>
          <w:color w:val="auto"/>
          <w:sz w:val="24"/>
          <w:highlight w:val="none"/>
        </w:rPr>
      </w:pPr>
      <w:r>
        <w:rPr>
          <w:color w:val="auto"/>
          <w:highlight w:val="none"/>
        </w:rPr>
      </w:r>
      <w:bookmarkEnd w:id="164"/>
      <w:r>
        <w:rPr>
          <w:color w:val="auto"/>
          <w:highlight w:val="none"/>
        </w:rPr>
      </w:r>
      <w:bookmarkEnd w:id="165"/>
      <w:r>
        <w:rPr>
          <w:color w:val="auto"/>
          <w:highlight w:val="none"/>
        </w:rPr>
      </w:r>
      <w:bookmarkEnd w:id="166"/>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凡是与审查、澄清、评价和比较投标的有关资料以及授标建议等，采购人、评委、交易中心均不得向投标人或与评标无关的其他人员透露。</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投标人不得以任何方式影响评标，否则其投标文件将被作为无效投标文件。</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.3 交易中心和评委会不向未中标的投标人解释未中标原因，也不公布评标过程中的相关细节。</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.4 采用综合评分法的项目，未中标的投标人可于中标结果公告期限届满之日起通过苏采云系统查看本单位的评审得分及排名情况。</w:t>
      </w:r>
      <w:r>
        <w:rPr>
          <w:color w:val="auto"/>
          <w:highlight w:val="none"/>
        </w:rPr>
      </w:r>
      <w:r/>
    </w:p>
    <w:p>
      <w:pPr>
        <w:pStyle w:val="877"/>
        <w:ind w:firstLine="420"/>
        <w:spacing w:before="0" w:after="0" w:line="240" w:lineRule="auto"/>
        <w:rPr>
          <w:rFonts w:hint="eastAsia" w:ascii="方正楷体_GBK" w:hAnsi="方正楷体_GBK" w:eastAsia="方正楷体_GBK" w:cs="方正楷体_GBK"/>
          <w:color w:val="auto"/>
          <w:highlight w:val="none"/>
        </w:rPr>
      </w:pPr>
      <w:r>
        <w:rPr>
          <w:color w:val="auto"/>
          <w:highlight w:val="none"/>
        </w:rPr>
      </w:r>
      <w:bookmarkStart w:id="167" w:name="_Toc513029232"/>
      <w:r>
        <w:rPr>
          <w:color w:val="auto"/>
          <w:highlight w:val="none"/>
        </w:rPr>
      </w:r>
      <w:bookmarkStart w:id="168" w:name="_Toc16938548"/>
      <w:r>
        <w:rPr>
          <w:color w:val="auto"/>
          <w:highlight w:val="none"/>
        </w:rPr>
      </w:r>
      <w:bookmarkStart w:id="169" w:name="_Toc20823304"/>
      <w:r>
        <w:rPr>
          <w:rFonts w:hint="eastAsia" w:ascii="方正楷体_GBK" w:hAnsi="方正楷体_GBK" w:eastAsia="方正楷体_GBK" w:cs="方正楷体_GBK"/>
          <w:color w:val="auto"/>
          <w:highlight w:val="none"/>
        </w:rPr>
        <w:t xml:space="preserve">23.投标文件的澄清</w:t>
      </w:r>
      <w:bookmarkEnd w:id="167"/>
      <w:r>
        <w:rPr>
          <w:color w:val="auto"/>
          <w:highlight w:val="none"/>
        </w:rPr>
      </w:r>
      <w:bookmarkEnd w:id="168"/>
      <w:r>
        <w:rPr>
          <w:color w:val="auto"/>
          <w:highlight w:val="none"/>
        </w:rPr>
      </w:r>
      <w:bookmarkEnd w:id="169"/>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3</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评标期间，评委会对投标文件中含义不明确、同类问题表述不一致或者有明显文字和计算错误的内容，有权要求投标人作出必要的澄清、说明或者补正。</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lang w:val="zh-CN"/>
        </w:rPr>
        <w:t xml:space="preserve">投标人的澄清、说明或者补正不得超出投标文件的范围或者改变投标文件的实质性内容。</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lang w:val="zh-CN"/>
        </w:rPr>
        <w:t xml:space="preserve">评委会并非对每个投标人都做澄清要求。</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3</w:t>
      </w:r>
      <w:r>
        <w:rPr>
          <w:rFonts w:hint="eastAsia" w:ascii="宋体" w:hAnsi="宋体"/>
          <w:color w:val="auto"/>
          <w:sz w:val="24"/>
          <w:highlight w:val="none"/>
          <w:lang w:val="zh-CN"/>
        </w:rPr>
        <w:t xml:space="preserve">.2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需要供应商进行澄清、说明和补正的，评委会将通过苏采云系统向</w:t>
      </w:r>
      <w:r>
        <w:rPr>
          <w:rFonts w:hint="eastAsia" w:ascii="宋体" w:hAnsi="宋体"/>
          <w:color w:val="auto"/>
          <w:sz w:val="24"/>
          <w:highlight w:val="none"/>
        </w:rPr>
        <w:t xml:space="preserve">投标人</w:t>
      </w:r>
      <w:r>
        <w:rPr>
          <w:rFonts w:hint="eastAsia" w:ascii="宋体" w:hAnsi="宋体"/>
          <w:color w:val="auto"/>
          <w:sz w:val="24"/>
          <w:highlight w:val="none"/>
          <w:lang w:val="zh-CN"/>
        </w:rPr>
        <w:t xml:space="preserve">发出《澄清要求函》，接到《澄清要求函》的</w:t>
      </w:r>
      <w:r>
        <w:rPr>
          <w:rFonts w:hint="eastAsia" w:ascii="宋体" w:hAnsi="宋体"/>
          <w:color w:val="auto"/>
          <w:sz w:val="24"/>
          <w:highlight w:val="none"/>
        </w:rPr>
        <w:t xml:space="preserve">投标人</w:t>
      </w:r>
      <w:r>
        <w:rPr>
          <w:rFonts w:hint="eastAsia" w:ascii="宋体" w:hAnsi="宋体"/>
          <w:color w:val="auto"/>
          <w:sz w:val="24"/>
          <w:highlight w:val="none"/>
          <w:lang w:val="zh-CN"/>
        </w:rPr>
        <w:t xml:space="preserve">应当按照要求在苏采云系统中提交《澄清响应函》并加盖电子公章。澄清、说明和补正的内容作为投标文件的补充部分，具体操作方式见《操作手册》。</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3</w:t>
      </w:r>
      <w:r>
        <w:rPr>
          <w:rFonts w:hint="eastAsia" w:ascii="宋体" w:hAnsi="宋体"/>
          <w:color w:val="auto"/>
          <w:sz w:val="24"/>
          <w:highlight w:val="none"/>
          <w:lang w:val="zh-CN"/>
        </w:rPr>
        <w:t xml:space="preserve">.3 接到评委会澄清、说明和补正要求的，投标人如未按规定作出澄清、说明和补正，其风险由投标人自行承担。</w:t>
      </w:r>
      <w:r>
        <w:rPr>
          <w:color w:val="auto"/>
          <w:highlight w:val="none"/>
        </w:rPr>
      </w:r>
      <w:r/>
    </w:p>
    <w:p>
      <w:pPr>
        <w:pStyle w:val="877"/>
        <w:ind w:firstLine="420"/>
        <w:spacing w:before="0" w:after="0" w:line="240" w:lineRule="auto"/>
        <w:rPr>
          <w:rFonts w:hint="eastAsia" w:ascii="方正楷体_GBK" w:hAnsi="方正楷体_GBK" w:eastAsia="方正楷体_GBK" w:cs="方正楷体_GBK"/>
          <w:color w:val="auto"/>
          <w:highlight w:val="none"/>
        </w:rPr>
      </w:pPr>
      <w:r>
        <w:rPr>
          <w:color w:val="auto"/>
          <w:highlight w:val="none"/>
        </w:rPr>
      </w:r>
      <w:bookmarkStart w:id="170" w:name="_Toc16938549"/>
      <w:r>
        <w:rPr>
          <w:color w:val="auto"/>
          <w:highlight w:val="none"/>
        </w:rPr>
      </w:r>
      <w:bookmarkStart w:id="171" w:name="_Toc20823305"/>
      <w:r>
        <w:rPr>
          <w:color w:val="auto"/>
          <w:highlight w:val="none"/>
        </w:rPr>
      </w:r>
      <w:bookmarkStart w:id="172" w:name="_Toc513029233"/>
      <w:r>
        <w:rPr>
          <w:rFonts w:hint="eastAsia" w:ascii="方正楷体_GBK" w:hAnsi="方正楷体_GBK" w:eastAsia="方正楷体_GBK" w:cs="方正楷体_GBK"/>
          <w:color w:val="auto"/>
          <w:highlight w:val="none"/>
        </w:rPr>
        <w:t xml:space="preserve">24.投标文件的</w:t>
      </w:r>
      <w:bookmarkEnd w:id="170"/>
      <w:r>
        <w:rPr>
          <w:color w:val="auto"/>
          <w:highlight w:val="none"/>
        </w:rPr>
      </w:r>
      <w:bookmarkEnd w:id="171"/>
      <w:r>
        <w:rPr>
          <w:color w:val="auto"/>
          <w:highlight w:val="none"/>
        </w:rPr>
      </w:r>
      <w:bookmarkEnd w:id="172"/>
      <w:r>
        <w:rPr>
          <w:rFonts w:hint="eastAsia" w:ascii="方正楷体_GBK" w:hAnsi="方正楷体_GBK" w:eastAsia="方正楷体_GBK" w:cs="方正楷体_GBK"/>
          <w:color w:val="auto"/>
          <w:highlight w:val="none"/>
        </w:rPr>
        <w:t xml:space="preserve">审查</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lang w:val="zh-CN"/>
        </w:rPr>
        <w:t xml:space="preserve">24.1 投标文件审查分为资格审查和符合性审查。</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lang w:val="zh-CN"/>
        </w:rPr>
        <w:t xml:space="preserve">24.1.1 资格审查。依据法律法规和招标文件规定，由采购人对投标文件中的资格证明文件进行审查，并向评委会反馈审查结论。</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lang w:val="zh-CN"/>
        </w:rPr>
        <w:t xml:space="preserve">采购人进行资格审查时，将在“信用中国”网站（www.creditchina.gov.cn）查询投标人的信用记录，以确定投标人是否具备投标资格，查询结果留存并归档。</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lang w:val="zh-CN"/>
        </w:rPr>
        <w:t xml:space="preserve">接受联合体的项目，联合体成员存在不良信用记录的，视同联合体存在不良信用记录。</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lang w:val="zh-CN"/>
        </w:rPr>
        <w:t xml:space="preserve">24.1.2 符合性审查。依据招标文件的规定，由评委会从有效性、完整性和对招标文件的响应程度等方面对投标文件进行审查，以确定是否对招标文件的实质性要求作出响应。</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lang w:val="zh-CN"/>
        </w:rPr>
        <w:t xml:space="preserve">24.1.3 未通过资格审查或符合性审查的投标人，交易中心将通过苏采云系统告知其具体原因，评标结束后不再接受有关询问。</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lang w:val="zh-CN"/>
        </w:rPr>
        <w:t xml:space="preserve">24.2 评委会仅对实质性响应招标文件要求的投标文件进行详细评审。实质性响应的投标文件应该是与招标文件要求的全部条款、条件和规格相符，没有重大偏离或保留的文件。</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.3</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如果投标文件实质上没有响应招标文件的要求，评委会将予以拒绝，投标人不得通过修改或撤销不符合要求的偏离或保留而使其投标成为实质性响应的投标。</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.4</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评委会将对确定为实质性响应的投标进行进一步审核，确定其是否有计算上或累加上的算术错误。修正错误的原则如下：</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lang w:val="zh-CN"/>
        </w:rPr>
        <w:t xml:space="preserve">（1）投标文件中开标一览表内容与投标文件中相应内容不一致的，以开标一览表为准；</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lang w:val="zh-CN"/>
        </w:rPr>
        <w:t xml:space="preserve">（2）大写金额和小写金额不一致的，以大写金额为准；</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lang w:val="zh-CN"/>
        </w:rPr>
        <w:t xml:space="preserve">（3）单价金额小数点或者百分比有明显错位的，以开标一览表的总价为准，并修改单价；</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lang w:val="zh-CN"/>
        </w:rPr>
        <w:t xml:space="preserve">（4）总价金额与按单价汇总金额不一致的，以单价金额计算结果为准。</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lang w:val="zh-CN"/>
        </w:rPr>
        <w:t xml:space="preserve">同时出现两种以上错误的，按照前款规定的顺序修正。</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color w:val="auto"/>
          <w:highlight w:val="none"/>
        </w:rPr>
      </w:r>
      <w:r/>
    </w:p>
    <w:p>
      <w:pPr>
        <w:pStyle w:val="873"/>
        <w:ind w:firstLine="420"/>
        <w:rPr>
          <w:rFonts w:hint="eastAsia" w:ascii="宋体" w:hAnsi="宋体"/>
          <w:color w:val="auto"/>
          <w:sz w:val="24"/>
          <w:highlight w:val="none"/>
        </w:rPr>
      </w:pPr>
      <w:r>
        <w:rPr>
          <w:color w:val="auto"/>
          <w:highlight w:val="none"/>
        </w:rPr>
      </w:r>
      <w:bookmarkStart w:id="173" w:name="_Toc513029234"/>
      <w:r>
        <w:rPr>
          <w:color w:val="auto"/>
          <w:highlight w:val="none"/>
        </w:rPr>
      </w:r>
      <w:bookmarkStart w:id="174" w:name="_Toc16938550"/>
      <w:r>
        <w:rPr>
          <w:color w:val="auto"/>
          <w:highlight w:val="none"/>
        </w:rPr>
      </w:r>
      <w:bookmarkStart w:id="175" w:name="_Toc20823306"/>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.6</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投标人在开、评标全过程中应保持通讯畅通，及时登录苏采云系统查阅、答复相关信息，并安排专人与交易中心及评委会联系。</w:t>
      </w:r>
      <w:r>
        <w:rPr>
          <w:color w:val="auto"/>
          <w:highlight w:val="none"/>
        </w:rPr>
      </w:r>
      <w:r/>
    </w:p>
    <w:p>
      <w:pPr>
        <w:pStyle w:val="873"/>
        <w:ind w:firstLine="420"/>
        <w:rPr>
          <w:rFonts w:hint="eastAsia" w:ascii="宋体" w:hAnsi="宋体"/>
          <w:color w:val="auto"/>
          <w:sz w:val="24"/>
          <w:szCs w:val="22"/>
          <w:highlight w:val="none"/>
        </w:rPr>
      </w:pPr>
      <w:r>
        <w:rPr>
          <w:rFonts w:hint="eastAsia" w:ascii="宋体" w:hAnsi="宋体"/>
          <w:color w:val="auto"/>
          <w:sz w:val="24"/>
          <w:highlight w:val="none"/>
          <w:lang w:val="zh-CN"/>
        </w:rPr>
        <w:t xml:space="preserve">24.7</w:t>
      </w:r>
      <w:r>
        <w:rPr>
          <w:rFonts w:hint="eastAsia" w:ascii="宋体" w:hAnsi="宋体"/>
          <w:color w:val="auto"/>
          <w:sz w:val="24"/>
          <w:highlight w:val="none"/>
        </w:rPr>
        <w:t xml:space="preserve"> </w:t>
      </w:r>
      <w:r>
        <w:rPr>
          <w:rFonts w:hint="eastAsia" w:ascii="宋体" w:hAnsi="宋体"/>
          <w:color w:val="auto"/>
          <w:sz w:val="24"/>
          <w:szCs w:val="22"/>
          <w:highlight w:val="none"/>
          <w:lang w:val="zh-CN"/>
        </w:rPr>
        <w:t xml:space="preserve">异常低价审查</w:t>
      </w:r>
      <w:r>
        <w:rPr>
          <w:color w:val="auto"/>
          <w:highlight w:val="none"/>
        </w:rPr>
      </w:r>
      <w:r/>
    </w:p>
    <w:p>
      <w:pPr>
        <w:pStyle w:val="873"/>
        <w:ind w:firstLine="420"/>
        <w:rPr>
          <w:rFonts w:hint="eastAsia" w:ascii="宋体" w:hAnsi="宋体"/>
          <w:color w:val="auto"/>
          <w:sz w:val="24"/>
          <w:szCs w:val="22"/>
          <w:highlight w:val="none"/>
        </w:rPr>
      </w:pPr>
      <w:r>
        <w:rPr>
          <w:rFonts w:hint="eastAsia" w:ascii="宋体" w:hAnsi="宋体"/>
          <w:color w:val="auto"/>
          <w:sz w:val="24"/>
          <w:szCs w:val="22"/>
          <w:highlight w:val="none"/>
          <w:lang w:val="zh-CN"/>
        </w:rPr>
        <w:t xml:space="preserve">2</w:t>
      </w:r>
      <w:r>
        <w:rPr>
          <w:rFonts w:hint="eastAsia" w:ascii="宋体" w:hAnsi="宋体"/>
          <w:color w:val="auto"/>
          <w:sz w:val="24"/>
          <w:szCs w:val="22"/>
          <w:highlight w:val="none"/>
        </w:rPr>
        <w:t xml:space="preserve">4</w:t>
      </w:r>
      <w:r>
        <w:rPr>
          <w:rFonts w:hint="eastAsia" w:ascii="宋体" w:hAnsi="宋体"/>
          <w:color w:val="auto"/>
          <w:sz w:val="24"/>
          <w:szCs w:val="22"/>
          <w:highlight w:val="none"/>
          <w:lang w:val="zh-CN"/>
        </w:rPr>
        <w:t xml:space="preserve">.</w:t>
      </w:r>
      <w:r>
        <w:rPr>
          <w:rFonts w:hint="eastAsia" w:ascii="宋体" w:hAnsi="宋体"/>
          <w:color w:val="auto"/>
          <w:sz w:val="24"/>
          <w:szCs w:val="22"/>
          <w:highlight w:val="none"/>
        </w:rPr>
        <w:t xml:space="preserve">7</w:t>
      </w:r>
      <w:r>
        <w:rPr>
          <w:rFonts w:hint="eastAsia" w:ascii="宋体" w:hAnsi="宋体"/>
          <w:color w:val="auto"/>
          <w:sz w:val="24"/>
          <w:szCs w:val="22"/>
          <w:highlight w:val="none"/>
          <w:lang w:val="zh-CN"/>
        </w:rPr>
        <w:t xml:space="preserve">.</w:t>
      </w:r>
      <w:r>
        <w:rPr>
          <w:rFonts w:hint="eastAsia" w:ascii="宋体" w:hAnsi="宋体"/>
          <w:color w:val="auto"/>
          <w:sz w:val="24"/>
          <w:szCs w:val="22"/>
          <w:highlight w:val="none"/>
        </w:rPr>
        <w:t xml:space="preserve">1</w:t>
      </w:r>
      <w:r>
        <w:rPr>
          <w:rFonts w:hint="eastAsia" w:ascii="宋体" w:hAnsi="宋体"/>
          <w:color w:val="auto"/>
          <w:sz w:val="24"/>
          <w:szCs w:val="22"/>
          <w:highlight w:val="none"/>
          <w:lang w:val="zh-CN"/>
        </w:rPr>
        <w:t xml:space="preserve">评标过程中出现下列情形之一的，</w:t>
      </w:r>
      <w:r>
        <w:rPr>
          <w:rFonts w:hint="eastAsia" w:ascii="宋体" w:hAnsi="宋体"/>
          <w:color w:val="auto"/>
          <w:sz w:val="24"/>
          <w:highlight w:val="none"/>
          <w:lang w:val="zh-CN"/>
        </w:rPr>
        <w:t xml:space="preserve">评委会</w:t>
      </w:r>
      <w:r>
        <w:rPr>
          <w:rFonts w:hint="eastAsia" w:ascii="宋体" w:hAnsi="宋体"/>
          <w:color w:val="auto"/>
          <w:sz w:val="24"/>
          <w:szCs w:val="22"/>
          <w:highlight w:val="none"/>
          <w:lang w:val="zh-CN"/>
        </w:rPr>
        <w:t xml:space="preserve">应当启动异常低价审查程序：</w:t>
      </w:r>
      <w:r>
        <w:rPr>
          <w:color w:val="auto"/>
          <w:highlight w:val="none"/>
        </w:rPr>
      </w:r>
      <w:r/>
    </w:p>
    <w:p>
      <w:pPr>
        <w:pStyle w:val="873"/>
        <w:ind w:firstLine="420"/>
        <w:rPr>
          <w:rFonts w:hint="eastAsia" w:ascii="宋体" w:hAnsi="宋体"/>
          <w:color w:val="auto"/>
          <w:sz w:val="24"/>
          <w:szCs w:val="22"/>
          <w:highlight w:val="none"/>
        </w:rPr>
      </w:pPr>
      <w:r>
        <w:rPr>
          <w:rFonts w:hint="eastAsia" w:ascii="宋体" w:hAnsi="宋体"/>
          <w:color w:val="auto"/>
          <w:sz w:val="24"/>
          <w:szCs w:val="22"/>
          <w:highlight w:val="none"/>
          <w:lang w:val="zh-CN"/>
        </w:rPr>
        <w:t xml:space="preserve">（1）投标报价低于全部通过符合性审查供应商投标报价平均值</w:t>
      </w:r>
      <w:r>
        <w:rPr>
          <w:rFonts w:hint="eastAsia" w:ascii="宋体" w:hAnsi="宋体"/>
          <w:color w:val="auto"/>
          <w:sz w:val="24"/>
          <w:szCs w:val="22"/>
          <w:highlight w:val="none"/>
          <w:u w:val="single"/>
        </w:rPr>
        <w:t xml:space="preserve">65</w:t>
      </w:r>
      <w:r>
        <w:rPr>
          <w:rFonts w:hint="eastAsia" w:ascii="宋体" w:hAnsi="宋体"/>
          <w:color w:val="auto"/>
          <w:sz w:val="24"/>
          <w:szCs w:val="22"/>
          <w:highlight w:val="none"/>
          <w:u w:val="single"/>
          <w:lang w:val="zh-CN"/>
        </w:rPr>
        <w:t xml:space="preserve">%</w:t>
      </w:r>
      <w:r>
        <w:rPr>
          <w:rFonts w:hint="eastAsia" w:ascii="宋体" w:hAnsi="宋体"/>
          <w:color w:val="auto"/>
          <w:sz w:val="24"/>
          <w:szCs w:val="22"/>
          <w:highlight w:val="none"/>
          <w:lang w:val="zh-CN"/>
        </w:rPr>
        <w:t xml:space="preserve">的，即投标报价&lt;全部通过符合性审查供应商投标报价平均值×</w:t>
      </w:r>
      <w:r>
        <w:rPr>
          <w:rFonts w:hint="eastAsia" w:ascii="宋体" w:hAnsi="宋体"/>
          <w:color w:val="auto"/>
          <w:sz w:val="24"/>
          <w:szCs w:val="22"/>
          <w:highlight w:val="none"/>
          <w:u w:val="single"/>
        </w:rPr>
        <w:t xml:space="preserve">65</w:t>
      </w:r>
      <w:r>
        <w:rPr>
          <w:rFonts w:hint="eastAsia" w:ascii="宋体" w:hAnsi="宋体"/>
          <w:color w:val="auto"/>
          <w:sz w:val="24"/>
          <w:szCs w:val="22"/>
          <w:highlight w:val="none"/>
          <w:u w:val="single"/>
          <w:lang w:val="zh-CN"/>
        </w:rPr>
        <w:t xml:space="preserve">%</w:t>
      </w:r>
      <w:r>
        <w:rPr>
          <w:rFonts w:hint="eastAsia" w:ascii="宋体" w:hAnsi="宋体"/>
          <w:color w:val="auto"/>
          <w:sz w:val="24"/>
          <w:szCs w:val="22"/>
          <w:highlight w:val="none"/>
          <w:lang w:val="zh-CN"/>
        </w:rPr>
        <w:t xml:space="preserve">；</w:t>
      </w:r>
      <w:r>
        <w:rPr>
          <w:color w:val="auto"/>
          <w:highlight w:val="none"/>
        </w:rPr>
      </w:r>
      <w:r/>
    </w:p>
    <w:p>
      <w:pPr>
        <w:pStyle w:val="873"/>
        <w:ind w:firstLine="420"/>
        <w:rPr>
          <w:rFonts w:hint="eastAsia" w:ascii="宋体" w:hAnsi="宋体"/>
          <w:color w:val="auto"/>
          <w:sz w:val="24"/>
          <w:szCs w:val="22"/>
          <w:highlight w:val="none"/>
        </w:rPr>
      </w:pPr>
      <w:r>
        <w:rPr>
          <w:rFonts w:hint="eastAsia" w:ascii="宋体" w:hAnsi="宋体"/>
          <w:color w:val="auto"/>
          <w:sz w:val="24"/>
          <w:szCs w:val="22"/>
          <w:highlight w:val="none"/>
          <w:lang w:val="zh-CN"/>
        </w:rPr>
        <w:t xml:space="preserve">（2）投标报价低于通过符合性审查的次低报价供应商投标报价</w:t>
      </w:r>
      <w:r>
        <w:rPr>
          <w:rFonts w:hint="eastAsia" w:ascii="宋体" w:hAnsi="宋体"/>
          <w:color w:val="auto"/>
          <w:sz w:val="24"/>
          <w:szCs w:val="22"/>
          <w:highlight w:val="none"/>
          <w:u w:val="single"/>
        </w:rPr>
        <w:t xml:space="preserve">65</w:t>
      </w:r>
      <w:r>
        <w:rPr>
          <w:rFonts w:hint="eastAsia" w:ascii="宋体" w:hAnsi="宋体"/>
          <w:color w:val="auto"/>
          <w:sz w:val="24"/>
          <w:szCs w:val="22"/>
          <w:highlight w:val="none"/>
          <w:u w:val="single"/>
          <w:lang w:val="zh-CN"/>
        </w:rPr>
        <w:t xml:space="preserve">%</w:t>
      </w:r>
      <w:r>
        <w:rPr>
          <w:rFonts w:hint="eastAsia" w:ascii="宋体" w:hAnsi="宋体"/>
          <w:color w:val="auto"/>
          <w:sz w:val="24"/>
          <w:szCs w:val="22"/>
          <w:highlight w:val="none"/>
          <w:lang w:val="zh-CN"/>
        </w:rPr>
        <w:t xml:space="preserve">的，即投标报价&lt;通过符合性审查的次低报价供应商投标报价×</w:t>
      </w:r>
      <w:r>
        <w:rPr>
          <w:rFonts w:hint="eastAsia" w:ascii="宋体" w:hAnsi="宋体"/>
          <w:color w:val="auto"/>
          <w:sz w:val="24"/>
          <w:szCs w:val="22"/>
          <w:highlight w:val="none"/>
          <w:u w:val="single"/>
        </w:rPr>
        <w:t xml:space="preserve">65</w:t>
      </w:r>
      <w:r>
        <w:rPr>
          <w:rFonts w:hint="eastAsia" w:ascii="宋体" w:hAnsi="宋体"/>
          <w:color w:val="auto"/>
          <w:sz w:val="24"/>
          <w:szCs w:val="22"/>
          <w:highlight w:val="none"/>
          <w:u w:val="single"/>
          <w:lang w:val="zh-CN"/>
        </w:rPr>
        <w:t xml:space="preserve">%</w:t>
      </w:r>
      <w:r>
        <w:rPr>
          <w:rFonts w:hint="eastAsia" w:ascii="宋体" w:hAnsi="宋体"/>
          <w:color w:val="auto"/>
          <w:sz w:val="24"/>
          <w:szCs w:val="22"/>
          <w:highlight w:val="none"/>
          <w:lang w:val="zh-CN"/>
        </w:rPr>
        <w:t xml:space="preserve">；</w:t>
      </w:r>
      <w:r>
        <w:rPr>
          <w:color w:val="auto"/>
          <w:highlight w:val="none"/>
        </w:rPr>
      </w:r>
      <w:r/>
    </w:p>
    <w:p>
      <w:pPr>
        <w:pStyle w:val="873"/>
        <w:ind w:firstLine="420"/>
        <w:rPr>
          <w:rFonts w:hint="eastAsia" w:ascii="宋体" w:hAnsi="宋体"/>
          <w:color w:val="auto"/>
          <w:sz w:val="24"/>
          <w:szCs w:val="22"/>
          <w:highlight w:val="none"/>
        </w:rPr>
      </w:pPr>
      <w:r>
        <w:rPr>
          <w:rFonts w:hint="eastAsia" w:ascii="宋体" w:hAnsi="宋体"/>
          <w:color w:val="auto"/>
          <w:sz w:val="24"/>
          <w:szCs w:val="22"/>
          <w:highlight w:val="none"/>
          <w:lang w:val="zh-CN"/>
        </w:rPr>
        <w:t xml:space="preserve">（3）投标报价低于采购项目最高限价</w:t>
      </w:r>
      <w:r>
        <w:rPr>
          <w:rFonts w:hint="eastAsia" w:ascii="宋体" w:hAnsi="宋体"/>
          <w:color w:val="auto"/>
          <w:sz w:val="24"/>
          <w:szCs w:val="22"/>
          <w:highlight w:val="none"/>
          <w:u w:val="single"/>
        </w:rPr>
        <w:t xml:space="preserve">65</w:t>
      </w:r>
      <w:r>
        <w:rPr>
          <w:rFonts w:hint="eastAsia" w:ascii="宋体" w:hAnsi="宋体"/>
          <w:color w:val="auto"/>
          <w:sz w:val="24"/>
          <w:szCs w:val="22"/>
          <w:highlight w:val="none"/>
          <w:u w:val="single"/>
          <w:lang w:val="zh-CN"/>
        </w:rPr>
        <w:t xml:space="preserve">%</w:t>
      </w:r>
      <w:r>
        <w:rPr>
          <w:rFonts w:hint="eastAsia" w:ascii="宋体" w:hAnsi="宋体"/>
          <w:color w:val="auto"/>
          <w:sz w:val="24"/>
          <w:szCs w:val="22"/>
          <w:highlight w:val="none"/>
          <w:lang w:val="zh-CN"/>
        </w:rPr>
        <w:t xml:space="preserve">的，即投标报价&lt;采购项目最高限价×</w:t>
      </w:r>
      <w:r>
        <w:rPr>
          <w:rFonts w:hint="eastAsia" w:ascii="宋体" w:hAnsi="宋体"/>
          <w:color w:val="auto"/>
          <w:sz w:val="24"/>
          <w:szCs w:val="22"/>
          <w:highlight w:val="none"/>
          <w:u w:val="single"/>
        </w:rPr>
        <w:t xml:space="preserve">65</w:t>
      </w:r>
      <w:r>
        <w:rPr>
          <w:rFonts w:hint="eastAsia" w:ascii="宋体" w:hAnsi="宋体"/>
          <w:color w:val="auto"/>
          <w:sz w:val="24"/>
          <w:szCs w:val="22"/>
          <w:highlight w:val="none"/>
          <w:u w:val="single"/>
          <w:lang w:val="zh-CN"/>
        </w:rPr>
        <w:t xml:space="preserve">%</w:t>
      </w:r>
      <w:r>
        <w:rPr>
          <w:rFonts w:hint="eastAsia" w:ascii="宋体" w:hAnsi="宋体"/>
          <w:color w:val="auto"/>
          <w:sz w:val="24"/>
          <w:szCs w:val="22"/>
          <w:highlight w:val="none"/>
          <w:lang w:val="zh-CN"/>
        </w:rPr>
        <w:t xml:space="preserve">；</w:t>
      </w:r>
      <w:r>
        <w:rPr>
          <w:color w:val="auto"/>
          <w:highlight w:val="none"/>
        </w:rPr>
      </w:r>
      <w:r/>
    </w:p>
    <w:p>
      <w:pPr>
        <w:pStyle w:val="873"/>
        <w:ind w:firstLine="420"/>
        <w:rPr>
          <w:rFonts w:hint="eastAsia" w:ascii="宋体" w:hAnsi="宋体"/>
          <w:color w:val="auto"/>
          <w:sz w:val="24"/>
          <w:szCs w:val="22"/>
          <w:highlight w:val="none"/>
        </w:rPr>
      </w:pPr>
      <w:r>
        <w:rPr>
          <w:rFonts w:hint="eastAsia" w:ascii="宋体" w:hAnsi="宋体"/>
          <w:color w:val="auto"/>
          <w:sz w:val="24"/>
          <w:szCs w:val="22"/>
          <w:highlight w:val="none"/>
          <w:lang w:val="zh-CN"/>
        </w:rPr>
        <w:t xml:space="preserve">（4）</w:t>
      </w:r>
      <w:r>
        <w:rPr>
          <w:rFonts w:hint="eastAsia" w:ascii="宋体" w:hAnsi="宋体"/>
          <w:color w:val="auto"/>
          <w:sz w:val="24"/>
          <w:highlight w:val="none"/>
          <w:lang w:val="zh-CN"/>
        </w:rPr>
        <w:t xml:space="preserve">评委会</w:t>
      </w:r>
      <w:r>
        <w:rPr>
          <w:rFonts w:hint="eastAsia" w:ascii="宋体" w:hAnsi="宋体"/>
          <w:color w:val="auto"/>
          <w:sz w:val="24"/>
          <w:szCs w:val="22"/>
          <w:highlight w:val="none"/>
          <w:lang w:val="zh-CN"/>
        </w:rPr>
        <w:t xml:space="preserve">基于专业判断，认为供应商报价过低，有可能影响产品质量或者不能诚信履约的其他情形。</w:t>
      </w:r>
      <w:r>
        <w:rPr>
          <w:color w:val="auto"/>
          <w:highlight w:val="none"/>
        </w:rPr>
      </w:r>
      <w:r/>
    </w:p>
    <w:p>
      <w:pPr>
        <w:pStyle w:val="873"/>
        <w:ind w:firstLine="420"/>
        <w:rPr>
          <w:rFonts w:hint="eastAsia" w:ascii="宋体" w:hAnsi="宋体"/>
          <w:color w:val="auto"/>
          <w:sz w:val="24"/>
          <w:szCs w:val="22"/>
          <w:highlight w:val="none"/>
        </w:rPr>
      </w:pPr>
      <w:r>
        <w:rPr>
          <w:rFonts w:hint="eastAsia" w:ascii="宋体" w:hAnsi="宋体"/>
          <w:color w:val="auto"/>
          <w:sz w:val="24"/>
          <w:szCs w:val="22"/>
          <w:highlight w:val="none"/>
          <w:lang w:val="zh-CN"/>
        </w:rPr>
        <w:t xml:space="preserve">2</w:t>
      </w:r>
      <w:r>
        <w:rPr>
          <w:rFonts w:hint="eastAsia" w:ascii="宋体" w:hAnsi="宋体"/>
          <w:color w:val="auto"/>
          <w:sz w:val="24"/>
          <w:szCs w:val="22"/>
          <w:highlight w:val="none"/>
        </w:rPr>
        <w:t xml:space="preserve">4</w:t>
      </w:r>
      <w:r>
        <w:rPr>
          <w:rFonts w:hint="eastAsia" w:ascii="宋体" w:hAnsi="宋体"/>
          <w:color w:val="auto"/>
          <w:sz w:val="24"/>
          <w:szCs w:val="22"/>
          <w:highlight w:val="none"/>
          <w:lang w:val="zh-CN"/>
        </w:rPr>
        <w:t xml:space="preserve">.</w:t>
      </w:r>
      <w:r>
        <w:rPr>
          <w:rFonts w:hint="eastAsia" w:ascii="宋体" w:hAnsi="宋体"/>
          <w:color w:val="auto"/>
          <w:sz w:val="24"/>
          <w:szCs w:val="22"/>
          <w:highlight w:val="none"/>
        </w:rPr>
        <w:t xml:space="preserve">7</w:t>
      </w:r>
      <w:r>
        <w:rPr>
          <w:rFonts w:hint="eastAsia" w:ascii="宋体" w:hAnsi="宋体"/>
          <w:color w:val="auto"/>
          <w:sz w:val="24"/>
          <w:szCs w:val="22"/>
          <w:highlight w:val="none"/>
          <w:lang w:val="zh-CN"/>
        </w:rPr>
        <w:t xml:space="preserve">.</w:t>
      </w:r>
      <w:r>
        <w:rPr>
          <w:rFonts w:hint="eastAsia" w:ascii="宋体" w:hAnsi="宋体"/>
          <w:color w:val="auto"/>
          <w:sz w:val="24"/>
          <w:szCs w:val="22"/>
          <w:highlight w:val="none"/>
        </w:rPr>
        <w:t xml:space="preserve">2</w:t>
      </w:r>
      <w:r>
        <w:rPr>
          <w:rFonts w:hint="eastAsia" w:ascii="宋体" w:hAnsi="宋体"/>
          <w:color w:val="auto"/>
          <w:sz w:val="24"/>
          <w:highlight w:val="none"/>
          <w:lang w:val="zh-CN"/>
        </w:rPr>
        <w:t xml:space="preserve">评委会</w:t>
      </w:r>
      <w:r>
        <w:rPr>
          <w:rFonts w:hint="eastAsia" w:ascii="宋体" w:hAnsi="宋体"/>
          <w:color w:val="auto"/>
          <w:sz w:val="24"/>
          <w:szCs w:val="22"/>
          <w:highlight w:val="none"/>
          <w:lang w:val="zh-CN"/>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color w:val="auto"/>
          <w:highlight w:val="none"/>
        </w:rPr>
      </w:r>
      <w:r/>
    </w:p>
    <w:p>
      <w:pPr>
        <w:pStyle w:val="873"/>
        <w:ind w:firstLine="420"/>
        <w:rPr>
          <w:rFonts w:hint="eastAsia"/>
          <w:color w:val="auto"/>
          <w:highlight w:val="none"/>
        </w:rPr>
      </w:pPr>
      <w:r>
        <w:rPr>
          <w:rFonts w:hint="eastAsia" w:ascii="宋体" w:hAnsi="宋体"/>
          <w:color w:val="auto"/>
          <w:sz w:val="24"/>
          <w:highlight w:val="none"/>
          <w:lang w:val="zh-CN"/>
        </w:rPr>
        <w:t xml:space="preserve">评委会</w:t>
      </w:r>
      <w:r>
        <w:rPr>
          <w:rFonts w:hint="eastAsia" w:ascii="宋体" w:hAnsi="宋体"/>
          <w:color w:val="auto"/>
          <w:sz w:val="24"/>
          <w:szCs w:val="22"/>
          <w:highlight w:val="none"/>
          <w:lang w:val="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color w:val="auto"/>
          <w:sz w:val="24"/>
          <w:highlight w:val="none"/>
          <w:lang w:val="zh-CN"/>
        </w:rPr>
        <w:t xml:space="preserve">评委会</w:t>
      </w:r>
      <w:r>
        <w:rPr>
          <w:rFonts w:hint="eastAsia" w:ascii="宋体" w:hAnsi="宋体"/>
          <w:color w:val="auto"/>
          <w:sz w:val="24"/>
          <w:szCs w:val="22"/>
          <w:highlight w:val="none"/>
          <w:lang w:val="zh-CN"/>
        </w:rPr>
        <w:t xml:space="preserve">应当将其作为无效投标处理。</w:t>
      </w:r>
      <w:r>
        <w:rPr>
          <w:color w:val="auto"/>
          <w:highlight w:val="none"/>
        </w:rPr>
      </w:r>
      <w:r/>
    </w:p>
    <w:p>
      <w:pPr>
        <w:pStyle w:val="877"/>
        <w:ind w:firstLine="420"/>
        <w:spacing w:before="0" w:after="0" w:line="24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2</w:t>
      </w:r>
      <w:bookmarkEnd w:id="173"/>
      <w:r>
        <w:rPr>
          <w:color w:val="auto"/>
          <w:highlight w:val="none"/>
        </w:rPr>
      </w:r>
      <w:bookmarkEnd w:id="174"/>
      <w:r>
        <w:rPr>
          <w:color w:val="auto"/>
          <w:highlight w:val="none"/>
        </w:rPr>
      </w:r>
      <w:bookmarkEnd w:id="175"/>
      <w:r>
        <w:rPr>
          <w:rFonts w:hint="eastAsia" w:ascii="方正楷体_GBK" w:hAnsi="方正楷体_GBK" w:eastAsia="方正楷体_GBK" w:cs="方正楷体_GBK"/>
          <w:color w:val="auto"/>
          <w:highlight w:val="none"/>
        </w:rPr>
        <w:t xml:space="preserve">5.无效投标和废标</w:t>
      </w:r>
      <w:r>
        <w:rPr>
          <w:color w:val="auto"/>
          <w:highlight w:val="none"/>
        </w:rPr>
      </w:r>
      <w:r/>
    </w:p>
    <w:p>
      <w:pPr>
        <w:pStyle w:val="873"/>
        <w:ind w:firstLine="420"/>
        <w:rPr>
          <w:rFonts w:hint="eastAsia" w:ascii="宋体" w:hAnsi="宋体"/>
          <w:color w:val="auto"/>
          <w:sz w:val="24"/>
          <w:highlight w:val="none"/>
        </w:rPr>
      </w:pPr>
      <w:r>
        <w:rPr>
          <w:color w:val="auto"/>
          <w:highlight w:val="none"/>
        </w:rPr>
      </w:r>
      <w:bookmarkStart w:id="176" w:name="_Toc513029235"/>
      <w:r>
        <w:rPr>
          <w:color w:val="auto"/>
          <w:highlight w:val="none"/>
        </w:rPr>
      </w:r>
      <w:bookmarkStart w:id="177" w:name="_Toc20823307"/>
      <w:r>
        <w:rPr>
          <w:color w:val="auto"/>
          <w:highlight w:val="none"/>
        </w:rPr>
      </w:r>
      <w:bookmarkStart w:id="178" w:name="_Toc16938551"/>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无效投标</w:t>
      </w:r>
      <w:r>
        <w:rPr>
          <w:rFonts w:hint="eastAsia" w:ascii="宋体" w:hAnsi="宋体"/>
          <w:color w:val="auto"/>
          <w:sz w:val="24"/>
          <w:highlight w:val="none"/>
        </w:rPr>
        <w:t xml:space="preserve">情形</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投标人在苏采云系统规定的时间内未成功解密电子投标文件。</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投标人未按照招标文件要求上传电子投标文件。</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.1.3</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同一投标人提交两个（含两个）以上不同的投标报价。</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.1.4</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投标人不具备招标文件中规定资格要求。</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.1.5</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投标人的报价超过了采购预算或最高限价</w:t>
      </w:r>
      <w:r>
        <w:rPr>
          <w:rFonts w:hint="eastAsia" w:ascii="宋体" w:hAnsi="宋体"/>
          <w:color w:val="auto"/>
          <w:sz w:val="24"/>
          <w:highlight w:val="none"/>
        </w:rPr>
        <w:t xml:space="preserve">或单价上限</w:t>
      </w:r>
      <w:r>
        <w:rPr>
          <w:rFonts w:hint="eastAsia" w:ascii="宋体" w:hAnsi="宋体"/>
          <w:color w:val="auto"/>
          <w:sz w:val="24"/>
          <w:highlight w:val="none"/>
          <w:lang w:val="zh-CN"/>
        </w:rPr>
        <w:t xml:space="preserve">。</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.1.6</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未通过符合性审查。</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.1.7</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不符合招标文件中实质性要求和条件</w:t>
      </w:r>
      <w:r>
        <w:rPr>
          <w:rFonts w:hint="eastAsia" w:ascii="宋体" w:hAnsi="宋体"/>
          <w:iCs/>
          <w:color w:val="auto"/>
          <w:sz w:val="24"/>
          <w:szCs w:val="22"/>
          <w:highlight w:val="none"/>
          <w:lang w:val="zh-CN"/>
        </w:rPr>
        <w:t xml:space="preserve">（</w:t>
      </w:r>
      <w:r>
        <w:rPr>
          <w:rFonts w:hint="eastAsia" w:ascii="宋体" w:hAnsi="宋体"/>
          <w:b/>
          <w:bCs/>
          <w:iCs/>
          <w:color w:val="auto"/>
          <w:sz w:val="24"/>
          <w:szCs w:val="22"/>
          <w:highlight w:val="none"/>
          <w:lang w:val="zh-CN"/>
        </w:rPr>
        <w:t xml:space="preserve">本文件中斜体且有下划线部分，或者打“</w:t>
      </w:r>
      <w:r>
        <w:rPr>
          <w:rFonts w:hint="eastAsia" w:ascii="宋体" w:hAnsi="宋体"/>
          <w:b/>
          <w:bCs/>
          <w:iCs/>
          <w:color w:val="auto"/>
          <w:sz w:val="24"/>
          <w:szCs w:val="22"/>
          <w:highlight w:val="none"/>
        </w:rPr>
        <w:t xml:space="preserve">★</w:t>
      </w:r>
      <w:r>
        <w:rPr>
          <w:rFonts w:hint="eastAsia" w:ascii="宋体" w:hAnsi="宋体"/>
          <w:b/>
          <w:bCs/>
          <w:iCs/>
          <w:color w:val="auto"/>
          <w:sz w:val="24"/>
          <w:szCs w:val="22"/>
          <w:highlight w:val="none"/>
          <w:lang w:val="zh-CN"/>
        </w:rPr>
        <w:t xml:space="preserve">”内容为实质性要求和条件</w:t>
      </w:r>
      <w:r>
        <w:rPr>
          <w:rFonts w:hint="eastAsia" w:ascii="宋体" w:hAnsi="宋体"/>
          <w:iCs/>
          <w:color w:val="auto"/>
          <w:sz w:val="24"/>
          <w:szCs w:val="22"/>
          <w:highlight w:val="none"/>
          <w:lang w:val="zh-CN"/>
        </w:rPr>
        <w:t xml:space="preserve">）。</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.1.8</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.1.9</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投标文件含有采购人不能接受的附加条件。</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.1.10</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评委会</w:t>
      </w:r>
      <w:r>
        <w:rPr>
          <w:rFonts w:hint="eastAsia" w:ascii="宋体" w:hAnsi="宋体"/>
          <w:color w:val="auto"/>
          <w:sz w:val="24"/>
          <w:highlight w:val="none"/>
        </w:rPr>
        <w:t xml:space="preserve">按照本招标文件规定对投标人进行</w:t>
      </w:r>
      <w:r>
        <w:rPr>
          <w:rFonts w:hint="eastAsia" w:ascii="宋体" w:hAnsi="宋体"/>
          <w:color w:val="auto"/>
          <w:sz w:val="24"/>
          <w:highlight w:val="none"/>
          <w:lang w:eastAsia="zh-CN"/>
        </w:rPr>
        <w:t xml:space="preserve">异常低价</w:t>
      </w:r>
      <w:r>
        <w:rPr>
          <w:rFonts w:hint="eastAsia" w:ascii="宋体" w:hAnsi="宋体"/>
          <w:color w:val="auto"/>
          <w:sz w:val="24"/>
          <w:highlight w:val="none"/>
        </w:rPr>
        <w:t xml:space="preserve">审查后，认为投标人不能证明其报价合理性的。</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lang w:val="zh-CN"/>
        </w:rPr>
        <w:t xml:space="preserve">25.1.11 采购产品被财政部、国家发改委、生态环境部等列入“节能产品品目清单”强制采购范围，而投标人提供的产品不在强制采购范围内。</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.1.1</w:t>
      </w:r>
      <w:r>
        <w:rPr>
          <w:rFonts w:hint="eastAsia" w:ascii="宋体" w:hAnsi="宋体"/>
          <w:color w:val="auto"/>
          <w:sz w:val="24"/>
          <w:highlight w:val="none"/>
        </w:rPr>
        <w:t xml:space="preserve">2 </w:t>
      </w:r>
      <w:r>
        <w:rPr>
          <w:rFonts w:hint="eastAsia" w:ascii="宋体" w:hAnsi="宋体"/>
          <w:color w:val="auto"/>
          <w:sz w:val="24"/>
          <w:highlight w:val="none"/>
          <w:lang w:val="zh-CN"/>
        </w:rPr>
        <w:t xml:space="preserve">投标文件未按照招标文件要求加盖电子公章。</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.1.1</w:t>
      </w:r>
      <w:r>
        <w:rPr>
          <w:rFonts w:hint="eastAsia" w:ascii="宋体" w:hAnsi="宋体"/>
          <w:color w:val="auto"/>
          <w:sz w:val="24"/>
          <w:highlight w:val="none"/>
        </w:rPr>
        <w:t xml:space="preserve">3 </w:t>
      </w:r>
      <w:r>
        <w:rPr>
          <w:rFonts w:hint="eastAsia" w:ascii="宋体" w:hAnsi="宋体"/>
          <w:color w:val="auto"/>
          <w:sz w:val="24"/>
          <w:highlight w:val="none"/>
          <w:lang w:val="zh-CN"/>
        </w:rPr>
        <w:t xml:space="preserve">法律法规及本招标文件规定的</w:t>
      </w:r>
      <w:r>
        <w:rPr>
          <w:rFonts w:hint="eastAsia" w:ascii="宋体" w:hAnsi="宋体"/>
          <w:color w:val="auto"/>
          <w:sz w:val="24"/>
          <w:highlight w:val="none"/>
        </w:rPr>
        <w:t xml:space="preserve">其他</w:t>
      </w:r>
      <w:r>
        <w:rPr>
          <w:rFonts w:hint="eastAsia" w:ascii="宋体" w:hAnsi="宋体"/>
          <w:color w:val="auto"/>
          <w:sz w:val="24"/>
          <w:highlight w:val="none"/>
          <w:lang w:val="zh-CN"/>
        </w:rPr>
        <w:t xml:space="preserve">无效投标情形。</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废标</w:t>
      </w:r>
      <w:r>
        <w:rPr>
          <w:rFonts w:hint="eastAsia" w:ascii="宋体" w:hAnsi="宋体"/>
          <w:color w:val="auto"/>
          <w:sz w:val="24"/>
          <w:highlight w:val="none"/>
        </w:rPr>
        <w:t xml:space="preserve">情形</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.2.1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符合资格条件的供应商或者对招标文件作实质响应的供应商不足三家。</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.2.2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出现影响采购公正的违法、违规行为。</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.2.3</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因重大变故采购任务取消。</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.2.4</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评委会认定招标文件存在歧义、重大缺陷导致评审工作无法进行。</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.2.5</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因苏采云系统故障造成开标不成功。</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.3 如出现投标截止时间后参加投标的供应商或者对招标文件作出实质</w:t>
      </w:r>
      <w:r>
        <w:rPr>
          <w:rFonts w:hint="eastAsia" w:ascii="宋体" w:hAnsi="宋体"/>
          <w:color w:val="auto"/>
          <w:sz w:val="24"/>
          <w:highlight w:val="none"/>
        </w:rPr>
        <w:t xml:space="preserve">性</w:t>
      </w:r>
      <w:r>
        <w:rPr>
          <w:rFonts w:hint="eastAsia" w:ascii="宋体" w:hAnsi="宋体"/>
          <w:color w:val="auto"/>
          <w:sz w:val="24"/>
          <w:highlight w:val="none"/>
          <w:lang w:val="zh-CN"/>
        </w:rPr>
        <w:t xml:space="preserve">响应的供应商不足三家</w:t>
      </w:r>
      <w:r>
        <w:rPr>
          <w:rFonts w:hint="eastAsia" w:ascii="宋体" w:hAnsi="宋体"/>
          <w:color w:val="auto"/>
          <w:sz w:val="24"/>
          <w:highlight w:val="none"/>
        </w:rPr>
        <w:t xml:space="preserve">的</w:t>
      </w:r>
      <w:r>
        <w:rPr>
          <w:rFonts w:hint="eastAsia" w:ascii="宋体" w:hAnsi="宋体"/>
          <w:color w:val="auto"/>
          <w:sz w:val="24"/>
          <w:highlight w:val="none"/>
          <w:lang w:val="zh-CN"/>
        </w:rPr>
        <w:t xml:space="preserve">情况，按政府采购相关规定执行。</w:t>
      </w:r>
      <w:r>
        <w:rPr>
          <w:color w:val="auto"/>
          <w:highlight w:val="none"/>
        </w:rPr>
      </w:r>
      <w:r/>
    </w:p>
    <w:p>
      <w:pPr>
        <w:pStyle w:val="873"/>
        <w:ind w:firstLine="422"/>
        <w:rPr>
          <w:rFonts w:ascii="宋体" w:hAnsi="宋体"/>
          <w:b/>
          <w:bCs/>
          <w:color w:val="auto"/>
          <w:sz w:val="24"/>
          <w:highlight w:val="none"/>
        </w:rPr>
      </w:pPr>
      <w:r>
        <w:rPr>
          <w:rFonts w:hint="eastAsia" w:ascii="宋体" w:hAnsi="宋体"/>
          <w:b/>
          <w:bCs/>
          <w:color w:val="auto"/>
          <w:sz w:val="24"/>
          <w:highlight w:val="none"/>
          <w:lang w:val="zh-CN"/>
        </w:rPr>
        <w:t xml:space="preserve">25.4 如出现25.2.1或25.3情形，招标活动失败，评审委员会</w:t>
      </w:r>
      <w:r>
        <w:rPr>
          <w:rFonts w:hint="eastAsia" w:ascii="宋体" w:hAnsi="宋体"/>
          <w:b/>
          <w:bCs/>
          <w:color w:val="auto"/>
          <w:sz w:val="24"/>
          <w:highlight w:val="none"/>
        </w:rPr>
        <w:t xml:space="preserve">应对</w:t>
      </w:r>
      <w:r>
        <w:rPr>
          <w:rFonts w:hint="eastAsia" w:ascii="宋体" w:hAnsi="宋体"/>
          <w:b/>
          <w:bCs/>
          <w:color w:val="auto"/>
          <w:sz w:val="24"/>
          <w:highlight w:val="none"/>
          <w:lang w:val="zh-CN"/>
        </w:rPr>
        <w:t xml:space="preserve">招标文件是否存在不合理条款</w:t>
      </w:r>
      <w:r>
        <w:rPr>
          <w:rFonts w:hint="eastAsia" w:ascii="宋体" w:hAnsi="宋体"/>
          <w:b/>
          <w:bCs/>
          <w:color w:val="auto"/>
          <w:sz w:val="24"/>
          <w:highlight w:val="none"/>
        </w:rPr>
        <w:t xml:space="preserve">进行论证，并在评审报告中写明</w:t>
      </w:r>
      <w:r>
        <w:rPr>
          <w:rFonts w:hint="eastAsia" w:ascii="宋体" w:hAnsi="宋体"/>
          <w:b/>
          <w:bCs/>
          <w:color w:val="auto"/>
          <w:sz w:val="24"/>
          <w:highlight w:val="none"/>
          <w:lang w:val="zh-CN"/>
        </w:rPr>
        <w:t xml:space="preserve">论证意见。</w:t>
      </w:r>
      <w:r>
        <w:rPr>
          <w:color w:val="auto"/>
          <w:highlight w:val="none"/>
        </w:rPr>
      </w:r>
      <w:r/>
    </w:p>
    <w:p>
      <w:pPr>
        <w:pStyle w:val="876"/>
        <w:ind w:firstLine="465"/>
        <w:spacing w:before="145" w:after="145" w:line="240" w:lineRule="auto"/>
        <w:rPr>
          <w:rFonts w:hint="eastAsia" w:ascii="方正黑体_GBK" w:hAnsi="方正黑体_GBK" w:eastAsia="方正黑体_GBK" w:cs="方正黑体_GBK"/>
          <w:b w:val="0"/>
          <w:bCs w:val="0"/>
          <w:color w:val="auto"/>
          <w:sz w:val="30"/>
          <w:szCs w:val="30"/>
          <w:highlight w:val="none"/>
        </w:rPr>
      </w:pPr>
      <w:r>
        <w:rPr>
          <w:color w:val="auto"/>
          <w:highlight w:val="none"/>
        </w:rPr>
      </w:r>
      <w:bookmarkEnd w:id="137"/>
      <w:r>
        <w:rPr>
          <w:color w:val="auto"/>
          <w:highlight w:val="none"/>
        </w:rPr>
      </w:r>
      <w:bookmarkEnd w:id="138"/>
      <w:r>
        <w:rPr>
          <w:color w:val="auto"/>
          <w:highlight w:val="none"/>
        </w:rPr>
      </w:r>
      <w:bookmarkEnd w:id="142"/>
      <w:r>
        <w:rPr>
          <w:color w:val="auto"/>
          <w:highlight w:val="none"/>
        </w:rPr>
      </w:r>
      <w:bookmarkEnd w:id="176"/>
      <w:r>
        <w:rPr>
          <w:color w:val="auto"/>
          <w:highlight w:val="none"/>
        </w:rPr>
      </w:r>
      <w:bookmarkEnd w:id="177"/>
      <w:r>
        <w:rPr>
          <w:color w:val="auto"/>
          <w:highlight w:val="none"/>
        </w:rPr>
      </w:r>
      <w:bookmarkEnd w:id="178"/>
      <w:r>
        <w:rPr>
          <w:color w:val="auto"/>
          <w:highlight w:val="none"/>
        </w:rPr>
      </w:r>
      <w:bookmarkStart w:id="179" w:name="_Toc120614219"/>
      <w:r>
        <w:rPr>
          <w:rFonts w:hint="eastAsia" w:ascii="方正黑体_GBK" w:hAnsi="方正黑体_GBK" w:eastAsia="方正黑体_GBK" w:cs="方正黑体_GBK"/>
          <w:b w:val="0"/>
          <w:bCs w:val="0"/>
          <w:color w:val="auto"/>
          <w:sz w:val="30"/>
          <w:szCs w:val="30"/>
          <w:highlight w:val="none"/>
        </w:rPr>
        <w:t xml:space="preserve">六、定标</w:t>
      </w:r>
      <w:bookmarkEnd w:id="179"/>
      <w:r>
        <w:rPr>
          <w:color w:val="auto"/>
          <w:highlight w:val="none"/>
        </w:rPr>
      </w:r>
      <w:r/>
    </w:p>
    <w:p>
      <w:pPr>
        <w:pStyle w:val="877"/>
        <w:ind w:firstLine="420"/>
        <w:spacing w:before="0" w:after="0" w:line="240" w:lineRule="auto"/>
        <w:rPr>
          <w:rFonts w:hint="eastAsia" w:ascii="方正楷体_GBK" w:hAnsi="方正楷体_GBK" w:eastAsia="方正楷体_GBK" w:cs="方正楷体_GBK"/>
          <w:color w:val="auto"/>
          <w:highlight w:val="none"/>
        </w:rPr>
      </w:pPr>
      <w:r>
        <w:rPr>
          <w:color w:val="auto"/>
          <w:highlight w:val="none"/>
        </w:rPr>
      </w:r>
      <w:bookmarkStart w:id="180" w:name="_Toc16938554"/>
      <w:r>
        <w:rPr>
          <w:color w:val="auto"/>
          <w:highlight w:val="none"/>
        </w:rPr>
      </w:r>
      <w:bookmarkStart w:id="181" w:name="_Toc513029238"/>
      <w:r>
        <w:rPr>
          <w:color w:val="auto"/>
          <w:highlight w:val="none"/>
        </w:rPr>
      </w:r>
      <w:bookmarkStart w:id="182" w:name="_Toc20823310"/>
      <w:r>
        <w:rPr>
          <w:rFonts w:hint="eastAsia" w:ascii="方正楷体_GBK" w:hAnsi="方正楷体_GBK" w:eastAsia="方正楷体_GBK" w:cs="方正楷体_GBK"/>
          <w:color w:val="auto"/>
          <w:highlight w:val="none"/>
        </w:rPr>
        <w:t xml:space="preserve">2</w:t>
      </w:r>
      <w:bookmarkEnd w:id="181"/>
      <w:r>
        <w:rPr>
          <w:rFonts w:hint="eastAsia" w:ascii="方正楷体_GBK" w:hAnsi="方正楷体_GBK" w:eastAsia="方正楷体_GBK" w:cs="方正楷体_GBK"/>
          <w:color w:val="auto"/>
          <w:highlight w:val="none"/>
        </w:rPr>
        <w:t xml:space="preserve">6.确定</w:t>
      </w:r>
      <w:bookmarkEnd w:id="180"/>
      <w:r>
        <w:rPr>
          <w:color w:val="auto"/>
          <w:highlight w:val="none"/>
        </w:rPr>
      </w:r>
      <w:bookmarkEnd w:id="182"/>
      <w:r>
        <w:rPr>
          <w:rFonts w:hint="eastAsia" w:ascii="方正楷体_GBK" w:hAnsi="方正楷体_GBK" w:eastAsia="方正楷体_GBK" w:cs="方正楷体_GBK"/>
          <w:color w:val="auto"/>
          <w:highlight w:val="none"/>
        </w:rPr>
        <w:t xml:space="preserve">中标单位</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中标候选人的</w:t>
      </w:r>
      <w:r>
        <w:rPr>
          <w:rFonts w:hint="eastAsia" w:ascii="宋体" w:hAnsi="宋体"/>
          <w:color w:val="auto"/>
          <w:sz w:val="24"/>
          <w:highlight w:val="none"/>
        </w:rPr>
        <w:t xml:space="preserve">确定</w:t>
      </w:r>
      <w:r>
        <w:rPr>
          <w:rFonts w:hint="eastAsia" w:ascii="宋体" w:hAnsi="宋体"/>
          <w:color w:val="auto"/>
          <w:sz w:val="24"/>
          <w:highlight w:val="none"/>
          <w:lang w:val="zh-CN"/>
        </w:rPr>
        <w:t xml:space="preserve">原则和数量见招标文件第五章。 </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.2 按以下第（</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）种方式确定中标人：</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lang w:val="zh-CN"/>
        </w:rPr>
        <w:t xml:space="preserve">（1）评委会直接确定排名第一的中标候选人为中标人；</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lang w:val="zh-CN"/>
        </w:rPr>
        <w:t xml:space="preserve">（2）采购人在评委会推荐的中标候选人中按顺序确定中标人。</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lang w:val="zh-CN"/>
        </w:rPr>
        <w:t xml:space="preserve">按第二种方式确定中标人的，交易中心自评审结束之日起两个工作日内将评审报告送</w:t>
      </w:r>
      <w:r>
        <w:rPr>
          <w:rFonts w:hint="eastAsia" w:ascii="宋体" w:hAnsi="宋体"/>
          <w:color w:val="auto"/>
          <w:sz w:val="24"/>
          <w:highlight w:val="none"/>
        </w:rPr>
        <w:t xml:space="preserve">达</w:t>
      </w:r>
      <w:r>
        <w:rPr>
          <w:rFonts w:hint="eastAsia" w:ascii="宋体" w:hAnsi="宋体"/>
          <w:color w:val="auto"/>
          <w:sz w:val="24"/>
          <w:highlight w:val="none"/>
          <w:lang w:val="zh-CN"/>
        </w:rPr>
        <w:t xml:space="preserve">采购人，采购人自收到评审报告之日起五个工作日内，在评审报告推荐的中标候选人中按顺序确定中标人。</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.3 交易中心将在“江苏政府采购网”发布中标公告，公告期限为1个工作日。</w:t>
      </w:r>
      <w:r>
        <w:rPr>
          <w:color w:val="auto"/>
          <w:highlight w:val="none"/>
        </w:rPr>
      </w:r>
      <w:r/>
    </w:p>
    <w:p>
      <w:pPr>
        <w:pStyle w:val="873"/>
        <w:ind w:firstLine="420"/>
        <w:rPr>
          <w:rFonts w:hint="eastAsia" w:ascii="宋体" w:hAnsi="宋体"/>
          <w:b/>
          <w:bCs/>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.4</w:t>
      </w:r>
      <w:r>
        <w:rPr>
          <w:rFonts w:hint="eastAsia" w:ascii="宋体" w:hAnsi="宋体"/>
          <w:color w:val="auto"/>
          <w:sz w:val="24"/>
          <w:highlight w:val="none"/>
        </w:rPr>
        <w:t xml:space="preserve"> </w:t>
      </w:r>
      <w:r>
        <w:rPr>
          <w:rFonts w:hint="eastAsia" w:ascii="宋体" w:hAnsi="宋体"/>
          <w:b/>
          <w:bCs/>
          <w:color w:val="auto"/>
          <w:sz w:val="24"/>
          <w:highlight w:val="none"/>
          <w:lang w:val="zh-CN"/>
        </w:rPr>
        <w:t xml:space="preserve">若有充分证据证明中标人</w:t>
      </w:r>
      <w:r>
        <w:rPr>
          <w:rFonts w:hint="eastAsia" w:ascii="宋体" w:hAnsi="宋体"/>
          <w:b/>
          <w:bCs/>
          <w:color w:val="auto"/>
          <w:sz w:val="24"/>
          <w:highlight w:val="none"/>
        </w:rPr>
        <w:t xml:space="preserve">有</w:t>
      </w:r>
      <w:r>
        <w:rPr>
          <w:rFonts w:hint="eastAsia" w:ascii="宋体" w:hAnsi="宋体"/>
          <w:b/>
          <w:bCs/>
          <w:color w:val="auto"/>
          <w:sz w:val="24"/>
          <w:highlight w:val="none"/>
          <w:lang w:val="zh-CN"/>
        </w:rPr>
        <w:t xml:space="preserve">下列情况之一的，一经查实将被取消中标资格：</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.4.1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提供虚假材料谋取中标。</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.4.2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向评审专家、采购人或交易中心工作人员行贿或者提供其他不正当利益。</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.4.3</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与其他供应商、评审专家、采购人或交易中心工作人员恶意串通。</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.4.4</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属于本文件规定的无效</w:t>
      </w:r>
      <w:r>
        <w:rPr>
          <w:rFonts w:hint="eastAsia" w:ascii="宋体" w:hAnsi="宋体"/>
          <w:color w:val="auto"/>
          <w:sz w:val="24"/>
          <w:highlight w:val="none"/>
        </w:rPr>
        <w:t xml:space="preserve">投标情形</w:t>
      </w:r>
      <w:r>
        <w:rPr>
          <w:rFonts w:hint="eastAsia" w:ascii="宋体" w:hAnsi="宋体"/>
          <w:color w:val="auto"/>
          <w:sz w:val="24"/>
          <w:highlight w:val="none"/>
          <w:lang w:val="zh-CN"/>
        </w:rPr>
        <w:t xml:space="preserve">，但在评标过程中未被评委会发现。</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.4.5</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采取不正当手段诋毁、排挤其他供应商。</w:t>
      </w:r>
      <w:r>
        <w:rPr>
          <w:color w:val="auto"/>
          <w:highlight w:val="none"/>
        </w:rPr>
      </w:r>
      <w:r/>
    </w:p>
    <w:p>
      <w:pPr>
        <w:pStyle w:val="873"/>
        <w:ind w:firstLine="420"/>
        <w:rPr>
          <w:rFonts w:hint="eastAsia" w:ascii="宋体" w:hAnsi="宋体"/>
          <w:b/>
          <w:bCs/>
          <w:color w:val="auto"/>
          <w:sz w:val="24"/>
          <w:highlight w:val="none"/>
        </w:rPr>
      </w:pPr>
      <w:r>
        <w:rPr>
          <w:color w:val="auto"/>
          <w:highlight w:val="none"/>
        </w:rPr>
      </w:r>
      <w:bookmarkStart w:id="183" w:name="_Toc200451960"/>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.5</w:t>
      </w:r>
      <w:r>
        <w:rPr>
          <w:rFonts w:hint="eastAsia" w:ascii="宋体" w:hAnsi="宋体"/>
          <w:color w:val="auto"/>
          <w:sz w:val="24"/>
          <w:highlight w:val="none"/>
        </w:rPr>
        <w:t xml:space="preserve"> </w:t>
      </w:r>
      <w:r>
        <w:rPr>
          <w:rFonts w:hint="eastAsia" w:ascii="宋体" w:hAnsi="宋体"/>
          <w:b/>
          <w:bCs/>
          <w:color w:val="auto"/>
          <w:sz w:val="24"/>
          <w:highlight w:val="none"/>
          <w:lang w:val="zh-CN"/>
        </w:rPr>
        <w:t xml:space="preserve">有下列情形之一的视为投标人串通投标，投标无效：</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.5.1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不同投标人的投标文件由同一单位或者个人编制。</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.5.2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不同投标人委托同一单位或者个人办理投标事宜。</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.5.3</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不同投标人的投标文件载明的项目管理成员或者联系人员为同一人。</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.5.4</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不同投标人的投标文件异常一致或者投标报价呈规律性差异。</w:t>
      </w:r>
      <w:r>
        <w:rPr>
          <w:color w:val="auto"/>
          <w:highlight w:val="none"/>
        </w:rPr>
      </w:r>
      <w:r/>
    </w:p>
    <w:p>
      <w:pPr>
        <w:pStyle w:val="877"/>
        <w:ind w:firstLine="420"/>
        <w:spacing w:before="0" w:after="0" w:line="240" w:lineRule="auto"/>
        <w:rPr>
          <w:rFonts w:hint="eastAsia" w:ascii="方正楷体_GBK" w:hAnsi="方正楷体_GBK" w:eastAsia="方正楷体_GBK" w:cs="方正楷体_GBK"/>
          <w:color w:val="auto"/>
          <w:highlight w:val="none"/>
        </w:rPr>
      </w:pPr>
      <w:r>
        <w:rPr>
          <w:color w:val="auto"/>
          <w:highlight w:val="none"/>
        </w:rPr>
      </w:r>
      <w:bookmarkEnd w:id="183"/>
      <w:r>
        <w:rPr>
          <w:rFonts w:hint="eastAsia" w:ascii="方正楷体_GBK" w:hAnsi="方正楷体_GBK" w:eastAsia="方正楷体_GBK" w:cs="方正楷体_GBK"/>
          <w:color w:val="auto"/>
          <w:highlight w:val="none"/>
        </w:rPr>
        <w:t xml:space="preserve">27.中标通知书</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7</w:t>
      </w:r>
      <w:r>
        <w:rPr>
          <w:rFonts w:hint="eastAsia" w:ascii="宋体" w:hAnsi="宋体"/>
          <w:color w:val="auto"/>
          <w:sz w:val="24"/>
          <w:highlight w:val="none"/>
          <w:lang w:val="zh-CN"/>
        </w:rPr>
        <w:t xml:space="preserve">.l 中标结果确定后，交易中心将向中标人发出《中标通知书》。中标人</w:t>
      </w:r>
      <w:r>
        <w:rPr>
          <w:rFonts w:hint="eastAsia" w:ascii="宋体" w:hAnsi="宋体"/>
          <w:color w:val="auto"/>
          <w:sz w:val="24"/>
          <w:highlight w:val="none"/>
        </w:rPr>
        <w:t xml:space="preserve">可</w:t>
      </w:r>
      <w:r>
        <w:rPr>
          <w:rFonts w:hint="eastAsia" w:ascii="宋体" w:hAnsi="宋体"/>
          <w:color w:val="auto"/>
          <w:sz w:val="24"/>
          <w:highlight w:val="none"/>
          <w:lang w:val="zh-CN"/>
        </w:rPr>
        <w:t xml:space="preserve">在中标结果公告届满之日起三十日内，登录苏采云系统下载。</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lang w:val="zh-CN"/>
        </w:rPr>
        <w:t xml:space="preserve">因系统存储空间有限，中标结果公告届满之日起三十日后，苏采云系统不再保证提供下载《中标通知书》服务，因未及时下载而造成的不利后果由中标人自行承担。</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7</w:t>
      </w:r>
      <w:r>
        <w:rPr>
          <w:rFonts w:hint="eastAsia" w:ascii="宋体" w:hAnsi="宋体"/>
          <w:color w:val="auto"/>
          <w:sz w:val="24"/>
          <w:highlight w:val="none"/>
          <w:lang w:val="zh-CN"/>
        </w:rPr>
        <w:t xml:space="preserve">.2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中标通知书</w:t>
      </w:r>
      <w:r>
        <w:rPr>
          <w:rFonts w:hint="eastAsia" w:ascii="宋体" w:hAnsi="宋体"/>
          <w:color w:val="auto"/>
          <w:sz w:val="24"/>
          <w:highlight w:val="none"/>
        </w:rPr>
        <w:t xml:space="preserve">》</w:t>
      </w:r>
      <w:r>
        <w:rPr>
          <w:rFonts w:hint="eastAsia" w:ascii="宋体" w:hAnsi="宋体"/>
          <w:color w:val="auto"/>
          <w:sz w:val="24"/>
          <w:highlight w:val="none"/>
          <w:lang w:val="zh-CN"/>
        </w:rPr>
        <w:t xml:space="preserve">是合同的一个组成部分，对采购人和中标人均具有法律效力。《中标通知书》发出后，采购人改变中标结果或者中标人放弃中标项目的，应当依法承担法律责任。</w:t>
      </w:r>
      <w:r>
        <w:rPr>
          <w:color w:val="auto"/>
          <w:highlight w:val="none"/>
        </w:rPr>
      </w:r>
      <w:r/>
    </w:p>
    <w:p>
      <w:pPr>
        <w:pStyle w:val="876"/>
        <w:ind w:firstLine="465"/>
        <w:spacing w:before="145" w:after="145" w:line="240" w:lineRule="auto"/>
        <w:rPr>
          <w:rFonts w:hint="eastAsia" w:ascii="方正黑体_GBK" w:hAnsi="方正黑体_GBK" w:eastAsia="方正黑体_GBK" w:cs="方正黑体_GBK"/>
          <w:b w:val="0"/>
          <w:bCs w:val="0"/>
          <w:color w:val="auto"/>
          <w:sz w:val="30"/>
          <w:szCs w:val="30"/>
          <w:highlight w:val="none"/>
        </w:rPr>
      </w:pPr>
      <w:r>
        <w:rPr>
          <w:color w:val="auto"/>
          <w:highlight w:val="none"/>
        </w:rPr>
      </w:r>
      <w:bookmarkStart w:id="184" w:name="_Toc513029236"/>
      <w:r>
        <w:rPr>
          <w:color w:val="auto"/>
          <w:highlight w:val="none"/>
        </w:rPr>
      </w:r>
      <w:bookmarkStart w:id="185" w:name="_Toc120614220"/>
      <w:r>
        <w:rPr>
          <w:color w:val="auto"/>
          <w:highlight w:val="none"/>
        </w:rPr>
      </w:r>
      <w:bookmarkStart w:id="186" w:name="_Toc16938552"/>
      <w:r>
        <w:rPr>
          <w:color w:val="auto"/>
          <w:highlight w:val="none"/>
        </w:rPr>
      </w:r>
      <w:bookmarkStart w:id="187" w:name="_Toc20823308"/>
      <w:r>
        <w:rPr>
          <w:rFonts w:hint="eastAsia" w:ascii="方正黑体_GBK" w:hAnsi="方正黑体_GBK" w:eastAsia="方正黑体_GBK" w:cs="方正黑体_GBK"/>
          <w:b w:val="0"/>
          <w:bCs w:val="0"/>
          <w:color w:val="auto"/>
          <w:sz w:val="30"/>
          <w:szCs w:val="30"/>
          <w:highlight w:val="none"/>
        </w:rPr>
        <w:t xml:space="preserve">七、授予合同</w:t>
      </w:r>
      <w:bookmarkEnd w:id="185"/>
      <w:r>
        <w:rPr>
          <w:color w:val="auto"/>
          <w:highlight w:val="none"/>
        </w:rPr>
      </w:r>
      <w:r/>
    </w:p>
    <w:p>
      <w:pPr>
        <w:pStyle w:val="877"/>
        <w:ind w:firstLine="420"/>
        <w:spacing w:before="0" w:after="0" w:line="240" w:lineRule="auto"/>
        <w:rPr>
          <w:rFonts w:hint="eastAsia" w:ascii="方正楷体_GBK" w:hAnsi="方正楷体_GBK" w:eastAsia="方正楷体_GBK" w:cs="方正楷体_GBK"/>
          <w:color w:val="auto"/>
          <w:highlight w:val="none"/>
        </w:rPr>
      </w:pPr>
      <w:r>
        <w:rPr>
          <w:color w:val="auto"/>
          <w:highlight w:val="none"/>
        </w:rPr>
      </w:r>
      <w:bookmarkEnd w:id="184"/>
      <w:r>
        <w:rPr>
          <w:color w:val="auto"/>
          <w:highlight w:val="none"/>
        </w:rPr>
      </w:r>
      <w:bookmarkEnd w:id="186"/>
      <w:r>
        <w:rPr>
          <w:color w:val="auto"/>
          <w:highlight w:val="none"/>
        </w:rPr>
      </w:r>
      <w:bookmarkEnd w:id="187"/>
      <w:r>
        <w:rPr>
          <w:rFonts w:hint="eastAsia" w:ascii="方正楷体_GBK" w:hAnsi="方正楷体_GBK" w:eastAsia="方正楷体_GBK" w:cs="方正楷体_GBK"/>
          <w:color w:val="auto"/>
          <w:highlight w:val="none"/>
        </w:rPr>
        <w:t xml:space="preserve">28.签订合同</w:t>
      </w:r>
      <w:r>
        <w:rPr>
          <w:color w:val="auto"/>
          <w:highlight w:val="none"/>
        </w:rPr>
      </w:r>
      <w:r/>
    </w:p>
    <w:p>
      <w:pPr>
        <w:pStyle w:val="873"/>
        <w:ind w:firstLine="420"/>
        <w:rPr>
          <w:rFonts w:ascii="宋体" w:hAnsi="宋体"/>
          <w:color w:val="auto"/>
          <w:sz w:val="24"/>
          <w:highlight w:val="none"/>
        </w:rPr>
      </w:pPr>
      <w:r>
        <w:rPr>
          <w:rFonts w:hint="eastAsia" w:ascii="宋体" w:hAnsi="宋体"/>
          <w:color w:val="auto"/>
          <w:sz w:val="24"/>
          <w:highlight w:val="none"/>
        </w:rPr>
        <w:t xml:space="preserve">28</w:t>
      </w:r>
      <w:r>
        <w:rPr>
          <w:rFonts w:hint="eastAsia" w:ascii="宋体" w:hAnsi="宋体"/>
          <w:color w:val="auto"/>
          <w:sz w:val="24"/>
          <w:highlight w:val="none"/>
          <w:lang w:val="zh-CN"/>
        </w:rPr>
        <w:t xml:space="preserve">.l</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中标人应当</w:t>
      </w:r>
      <w:r>
        <w:rPr>
          <w:rFonts w:hint="eastAsia" w:ascii="宋体" w:hAnsi="宋体"/>
          <w:color w:val="auto"/>
          <w:sz w:val="24"/>
          <w:highlight w:val="none"/>
        </w:rPr>
        <w:t xml:space="preserve">在</w:t>
      </w:r>
      <w:r>
        <w:rPr>
          <w:rFonts w:hint="eastAsia" w:ascii="宋体" w:hAnsi="宋体"/>
          <w:color w:val="auto"/>
          <w:sz w:val="24"/>
          <w:highlight w:val="none"/>
          <w:lang w:val="zh-CN"/>
        </w:rPr>
        <w:t xml:space="preserve">《中标通知书》发出之日起三十日内，按照招标文件确定的事项与采购人签订政府采购合同。采购人于合同签订后2个工作日内通过苏采云系统进行公示。</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rPr>
        <w:t xml:space="preserve">28</w:t>
      </w:r>
      <w:r>
        <w:rPr>
          <w:rFonts w:hint="eastAsia" w:ascii="宋体" w:hAnsi="宋体"/>
          <w:color w:val="auto"/>
          <w:sz w:val="24"/>
          <w:highlight w:val="none"/>
          <w:lang w:val="zh-CN"/>
        </w:rPr>
        <w:t xml:space="preserve">.2 招标文件、中标人的投标文件及招标过程中有关澄清、承诺文件均作为合同附件。</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rPr>
        <w:t xml:space="preserve">28</w:t>
      </w:r>
      <w:r>
        <w:rPr>
          <w:rFonts w:hint="eastAsia" w:ascii="宋体" w:hAnsi="宋体"/>
          <w:color w:val="auto"/>
          <w:sz w:val="24"/>
          <w:highlight w:val="none"/>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rPr>
        <w:t xml:space="preserve">28</w:t>
      </w:r>
      <w:r>
        <w:rPr>
          <w:rFonts w:hint="eastAsia" w:ascii="宋体" w:hAnsi="宋体"/>
          <w:color w:val="auto"/>
          <w:sz w:val="24"/>
          <w:highlight w:val="none"/>
          <w:lang w:val="zh-CN"/>
        </w:rPr>
        <w:t xml:space="preserve">.4 中标人因自身原因拒绝与采购人签订合同的，不得参加采购人</w:t>
      </w:r>
      <w:r>
        <w:rPr>
          <w:rFonts w:hint="eastAsia" w:ascii="宋体" w:hAnsi="宋体"/>
          <w:color w:val="auto"/>
          <w:sz w:val="24"/>
          <w:highlight w:val="none"/>
        </w:rPr>
        <w:t xml:space="preserve">重新组织的</w:t>
      </w:r>
      <w:r>
        <w:rPr>
          <w:rFonts w:hint="eastAsia" w:ascii="宋体" w:hAnsi="宋体"/>
          <w:color w:val="auto"/>
          <w:sz w:val="24"/>
          <w:highlight w:val="none"/>
          <w:lang w:val="zh-CN"/>
        </w:rPr>
        <w:t xml:space="preserve">采购活动</w:t>
      </w:r>
      <w:r>
        <w:rPr>
          <w:rFonts w:hint="eastAsia"/>
          <w:color w:val="auto"/>
          <w:highlight w:val="none"/>
        </w:rPr>
        <w:t xml:space="preserve">，</w:t>
      </w:r>
      <w:r>
        <w:rPr>
          <w:rFonts w:hint="eastAsia" w:ascii="宋体" w:hAnsi="宋体"/>
          <w:color w:val="auto"/>
          <w:sz w:val="24"/>
          <w:highlight w:val="none"/>
        </w:rPr>
        <w:t xml:space="preserve">且将可能被拒绝参加该采购人</w:t>
      </w:r>
      <w:r>
        <w:rPr>
          <w:rFonts w:hint="eastAsia" w:ascii="宋体" w:hAnsi="宋体"/>
          <w:color w:val="auto"/>
          <w:sz w:val="24"/>
          <w:highlight w:val="none"/>
          <w:lang w:val="zh-CN"/>
        </w:rPr>
        <w:t xml:space="preserve">一年内</w:t>
      </w:r>
      <w:r>
        <w:rPr>
          <w:rFonts w:hint="eastAsia" w:ascii="宋体" w:hAnsi="宋体"/>
          <w:color w:val="auto"/>
          <w:sz w:val="24"/>
          <w:highlight w:val="none"/>
        </w:rPr>
        <w:t xml:space="preserve">的其他</w:t>
      </w:r>
      <w:r>
        <w:rPr>
          <w:rFonts w:hint="eastAsia" w:ascii="宋体" w:hAnsi="宋体"/>
          <w:color w:val="auto"/>
          <w:sz w:val="24"/>
          <w:highlight w:val="none"/>
          <w:lang w:val="zh-CN"/>
        </w:rPr>
        <w:t xml:space="preserve">政府采购活动。</w:t>
      </w:r>
      <w:r>
        <w:rPr>
          <w:color w:val="auto"/>
          <w:highlight w:val="none"/>
        </w:rPr>
      </w:r>
      <w:r/>
    </w:p>
    <w:p>
      <w:pPr>
        <w:pStyle w:val="877"/>
        <w:ind w:firstLine="420"/>
        <w:spacing w:before="0" w:after="0" w:line="24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29.标的物的追加</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rPr>
        <w:t xml:space="preserve">29</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合同履行中，采购人需追加与合同标的相同的服务（包含与服务相关的货物），在不改变合同其他条款的前提下，可以与中标人协商签订补充合同，但所有补充合同的金额不超过原合同金额</w:t>
      </w:r>
      <w:r>
        <w:rPr>
          <w:rFonts w:hint="eastAsia" w:ascii="宋体" w:hAnsi="宋体"/>
          <w:color w:val="auto"/>
          <w:sz w:val="24"/>
          <w:highlight w:val="none"/>
        </w:rPr>
        <w:t xml:space="preserve">的</w:t>
      </w:r>
      <w:r>
        <w:rPr>
          <w:rFonts w:hint="eastAsia" w:ascii="宋体" w:hAnsi="宋体"/>
          <w:color w:val="auto"/>
          <w:sz w:val="24"/>
          <w:highlight w:val="none"/>
          <w:lang w:val="zh-CN"/>
        </w:rPr>
        <w:t xml:space="preserve">10%。</w:t>
      </w:r>
      <w:r>
        <w:rPr>
          <w:color w:val="auto"/>
          <w:highlight w:val="none"/>
        </w:rPr>
      </w:r>
      <w:r/>
    </w:p>
    <w:p>
      <w:pPr>
        <w:pStyle w:val="877"/>
        <w:ind w:firstLine="420"/>
        <w:spacing w:before="0" w:after="0" w:line="24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30.政府采购履约资金扶持政策</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rPr>
        <w:t xml:space="preserve">30.1 </w:t>
      </w:r>
      <w:r>
        <w:rPr>
          <w:rFonts w:hint="eastAsia" w:ascii="宋体" w:hAnsi="宋体"/>
          <w:color w:val="auto"/>
          <w:sz w:val="24"/>
          <w:highlight w:val="none"/>
          <w:lang w:val="zh-CN"/>
        </w:rPr>
        <w:t xml:space="preserve">中标</w:t>
      </w:r>
      <w:r>
        <w:rPr>
          <w:rFonts w:hint="eastAsia" w:ascii="宋体" w:hAnsi="宋体"/>
          <w:color w:val="auto"/>
          <w:sz w:val="24"/>
          <w:highlight w:val="none"/>
        </w:rPr>
        <w:t xml:space="preserve">供应商</w:t>
      </w:r>
      <w:r>
        <w:rPr>
          <w:rFonts w:hint="eastAsia" w:ascii="宋体" w:hAnsi="宋体"/>
          <w:color w:val="auto"/>
          <w:sz w:val="24"/>
          <w:highlight w:val="none"/>
          <w:lang w:val="zh-CN"/>
        </w:rPr>
        <w:t xml:space="preserve">可</w:t>
      </w:r>
      <w:r>
        <w:rPr>
          <w:rFonts w:hint="eastAsia" w:ascii="宋体" w:hAnsi="宋体"/>
          <w:color w:val="auto"/>
          <w:sz w:val="24"/>
          <w:highlight w:val="none"/>
        </w:rPr>
        <w:t xml:space="preserve">通过</w:t>
      </w:r>
      <w:r>
        <w:rPr>
          <w:rFonts w:hint="eastAsia" w:ascii="宋体" w:hAnsi="宋体"/>
          <w:color w:val="auto"/>
          <w:sz w:val="24"/>
          <w:highlight w:val="none"/>
          <w:lang w:val="zh-CN"/>
        </w:rPr>
        <w:t xml:space="preserve">南京市公共资源交易</w:t>
      </w:r>
      <w:r>
        <w:rPr>
          <w:rFonts w:hint="eastAsia" w:ascii="宋体" w:hAnsi="宋体"/>
          <w:color w:val="auto"/>
          <w:sz w:val="24"/>
          <w:highlight w:val="none"/>
        </w:rPr>
        <w:t xml:space="preserve">平台</w:t>
      </w:r>
      <w:r>
        <w:rPr>
          <w:rFonts w:hint="eastAsia" w:ascii="宋体" w:hAnsi="宋体"/>
          <w:color w:val="auto"/>
          <w:sz w:val="24"/>
          <w:highlight w:val="none"/>
          <w:lang w:val="zh-CN"/>
        </w:rPr>
        <w:t xml:space="preserve">网站“小企业融资平台”，</w:t>
      </w:r>
      <w:r>
        <w:rPr>
          <w:rFonts w:hint="eastAsia" w:ascii="宋体" w:hAnsi="宋体"/>
          <w:color w:val="auto"/>
          <w:sz w:val="24"/>
          <w:highlight w:val="none"/>
        </w:rPr>
        <w:t xml:space="preserve">选择相应的金融机构</w:t>
      </w:r>
      <w:r>
        <w:rPr>
          <w:rFonts w:hint="eastAsia" w:ascii="宋体" w:hAnsi="宋体"/>
          <w:color w:val="auto"/>
          <w:sz w:val="24"/>
          <w:highlight w:val="none"/>
          <w:lang w:val="zh-CN"/>
        </w:rPr>
        <w:t xml:space="preserve">办理融资贷款。</w:t>
      </w:r>
      <w:r>
        <w:rPr>
          <w:color w:val="auto"/>
          <w:highlight w:val="none"/>
        </w:rPr>
      </w:r>
      <w:r/>
    </w:p>
    <w:p>
      <w:pPr>
        <w:pStyle w:val="873"/>
        <w:ind w:firstLine="420"/>
        <w:rPr>
          <w:rFonts w:hint="eastAsia"/>
          <w:color w:val="auto"/>
          <w:highlight w:val="none"/>
        </w:rPr>
      </w:pPr>
      <w:r>
        <w:rPr>
          <w:rFonts w:hint="eastAsia" w:ascii="宋体" w:hAnsi="宋体"/>
          <w:color w:val="auto"/>
          <w:sz w:val="24"/>
          <w:highlight w:val="none"/>
        </w:rPr>
        <w:t xml:space="preserve">30.2 依据《关于在全省政府采购领域推行电子履约保函（保险）的通知》（苏财购</w:t>
      </w:r>
      <w:r>
        <w:rPr>
          <w:rFonts w:hint="eastAsia" w:ascii="宋体" w:hAnsi="宋体" w:cs="宋体"/>
          <w:color w:val="auto"/>
          <w:sz w:val="24"/>
          <w:szCs w:val="24"/>
          <w:highlight w:val="none"/>
        </w:rPr>
        <w:t xml:space="preserve">〔2023〕</w:t>
      </w:r>
      <w:r>
        <w:rPr>
          <w:rFonts w:hint="eastAsia" w:ascii="宋体" w:hAnsi="宋体"/>
          <w:color w:val="auto"/>
          <w:sz w:val="24"/>
          <w:highlight w:val="none"/>
        </w:rPr>
        <w:t xml:space="preserve">150号），需要缴纳履约保证金的，</w:t>
      </w:r>
      <w:r>
        <w:rPr>
          <w:rFonts w:hint="eastAsia" w:ascii="宋体" w:hAnsi="宋体"/>
          <w:color w:val="auto"/>
          <w:sz w:val="24"/>
          <w:highlight w:val="none"/>
          <w:lang w:val="zh-CN"/>
        </w:rPr>
        <w:t xml:space="preserve">中标</w:t>
      </w:r>
      <w:r>
        <w:rPr>
          <w:rFonts w:hint="eastAsia" w:ascii="宋体" w:hAnsi="宋体"/>
          <w:color w:val="auto"/>
          <w:sz w:val="24"/>
          <w:highlight w:val="none"/>
        </w:rPr>
        <w:t xml:space="preserve">供应商</w:t>
      </w:r>
      <w:r>
        <w:rPr>
          <w:rFonts w:hint="eastAsia" w:ascii="宋体" w:hAnsi="宋体"/>
          <w:color w:val="auto"/>
          <w:sz w:val="24"/>
          <w:highlight w:val="none"/>
          <w:lang w:val="zh-CN"/>
        </w:rPr>
        <w:t xml:space="preserve">可</w:t>
      </w:r>
      <w:r>
        <w:rPr>
          <w:rFonts w:hint="eastAsia" w:ascii="宋体" w:hAnsi="宋体"/>
          <w:color w:val="auto"/>
          <w:sz w:val="24"/>
          <w:highlight w:val="none"/>
        </w:rPr>
        <w:t xml:space="preserve">通过江苏政府采购网“政府采购电子履约保函（保险）综合服务平台”线上办理履约保函（保险）</w:t>
      </w:r>
      <w:r>
        <w:rPr>
          <w:rFonts w:hint="eastAsia" w:ascii="宋体" w:hAnsi="宋体"/>
          <w:color w:val="auto"/>
          <w:sz w:val="24"/>
          <w:highlight w:val="none"/>
          <w:lang w:val="zh-CN"/>
        </w:rPr>
        <w:t xml:space="preserve">。</w:t>
      </w:r>
      <w:r>
        <w:rPr>
          <w:color w:val="auto"/>
          <w:highlight w:val="none"/>
        </w:rPr>
      </w:r>
      <w:r/>
    </w:p>
    <w:p>
      <w:pPr>
        <w:pStyle w:val="876"/>
        <w:ind w:firstLine="465"/>
        <w:spacing w:before="145" w:after="145" w:line="240" w:lineRule="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八、质疑</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rPr>
        <w:t xml:space="preserve">31.</w:t>
      </w:r>
      <w:r>
        <w:rPr>
          <w:rFonts w:hint="eastAsia" w:ascii="宋体" w:hAnsi="宋体"/>
          <w:color w:val="auto"/>
          <w:sz w:val="24"/>
          <w:highlight w:val="none"/>
          <w:lang w:val="zh-CN"/>
        </w:rPr>
        <w:t xml:space="preserve">提出质疑的供应商应当是参与所质疑项目采购活动的供应商，潜在供应商依法获取其可质疑的采购文件的，可以对采购文件提出质疑。</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rPr>
        <w:t xml:space="preserve">32.</w:t>
      </w:r>
      <w:r>
        <w:rPr>
          <w:rFonts w:hint="eastAsia" w:ascii="宋体" w:hAnsi="宋体"/>
          <w:color w:val="auto"/>
          <w:sz w:val="24"/>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color w:val="auto"/>
          <w:sz w:val="24"/>
          <w:highlight w:val="none"/>
        </w:rPr>
        <w:t xml:space="preserve">按照第3</w:t>
      </w:r>
      <w:r>
        <w:rPr>
          <w:rFonts w:hint="eastAsia" w:ascii="宋体" w:hAnsi="宋体"/>
          <w:color w:val="auto"/>
          <w:sz w:val="24"/>
          <w:highlight w:val="none"/>
          <w:lang w:val="zh-CN"/>
        </w:rPr>
        <w:t xml:space="preserve">4</w:t>
      </w:r>
      <w:r>
        <w:rPr>
          <w:rFonts w:hint="eastAsia" w:ascii="宋体" w:hAnsi="宋体"/>
          <w:color w:val="auto"/>
          <w:sz w:val="24"/>
          <w:highlight w:val="none"/>
        </w:rPr>
        <w:t xml:space="preserve">条</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第35</w:t>
      </w:r>
      <w:r>
        <w:rPr>
          <w:rFonts w:hint="eastAsia" w:ascii="宋体" w:hAnsi="宋体"/>
          <w:color w:val="auto"/>
          <w:sz w:val="24"/>
          <w:highlight w:val="none"/>
          <w:lang w:val="zh-CN"/>
        </w:rPr>
        <w:t xml:space="preserve">条</w:t>
      </w:r>
      <w:r>
        <w:rPr>
          <w:rFonts w:hint="eastAsia" w:ascii="宋体" w:hAnsi="宋体"/>
          <w:color w:val="auto"/>
          <w:sz w:val="24"/>
          <w:highlight w:val="none"/>
        </w:rPr>
        <w:t xml:space="preserve">之</w:t>
      </w:r>
      <w:r>
        <w:rPr>
          <w:rFonts w:hint="eastAsia" w:ascii="宋体" w:hAnsi="宋体"/>
          <w:color w:val="auto"/>
          <w:sz w:val="24"/>
          <w:highlight w:val="none"/>
          <w:lang w:val="zh-CN"/>
        </w:rPr>
        <w:t xml:space="preserve">规定以书面形式向采购人或交易中心提出质疑。</w:t>
      </w:r>
      <w:r>
        <w:rPr>
          <w:rFonts w:hint="eastAsia" w:ascii="宋体" w:hAnsi="宋体"/>
          <w:b/>
          <w:bCs/>
          <w:color w:val="auto"/>
          <w:sz w:val="24"/>
          <w:highlight w:val="none"/>
          <w:lang w:val="zh-CN"/>
        </w:rPr>
        <w:t xml:space="preserve">上述应知其权益受到损害之日是指</w:t>
      </w:r>
      <w:r>
        <w:rPr>
          <w:rFonts w:hint="eastAsia" w:ascii="宋体" w:hAnsi="宋体"/>
          <w:color w:val="auto"/>
          <w:sz w:val="24"/>
          <w:highlight w:val="none"/>
          <w:lang w:val="zh-CN"/>
        </w:rPr>
        <w:t xml:space="preserve">：</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zh-CN"/>
        </w:rPr>
        <w:t xml:space="preserve">2.1 对采购文件提出质疑的，为收到采购文件之日或者采购文件公告期限届满之日。</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zh-CN"/>
        </w:rPr>
        <w:t xml:space="preserve">2.2 对采购过程提出质疑的，为各采购程序环节结束之日。</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zh-CN"/>
        </w:rPr>
        <w:t xml:space="preserve">2.3 对中标或者成交结果提出质疑的，为中标或者成交结果公告期限届满之日。</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rPr>
        <w:t xml:space="preserve">33.</w:t>
      </w:r>
      <w:r>
        <w:rPr>
          <w:rFonts w:hint="eastAsia" w:ascii="宋体" w:hAnsi="宋体"/>
          <w:color w:val="auto"/>
          <w:sz w:val="24"/>
          <w:highlight w:val="none"/>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rPr>
        <w:t xml:space="preserve">34.</w:t>
      </w:r>
      <w:r>
        <w:rPr>
          <w:rFonts w:hint="eastAsia" w:ascii="宋体" w:hAnsi="宋体"/>
          <w:color w:val="auto"/>
          <w:sz w:val="24"/>
          <w:highlight w:val="none"/>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color w:val="auto"/>
          <w:sz w:val="24"/>
          <w:highlight w:val="none"/>
        </w:rPr>
        <w:t xml:space="preserve">的</w:t>
      </w:r>
      <w:r>
        <w:rPr>
          <w:rFonts w:hint="eastAsia" w:ascii="宋体" w:hAnsi="宋体"/>
          <w:color w:val="auto"/>
          <w:sz w:val="24"/>
          <w:highlight w:val="none"/>
          <w:lang w:val="zh-CN"/>
        </w:rPr>
        <w:t xml:space="preserve">格式和内容填写。</w:t>
      </w:r>
      <w:r>
        <w:rPr>
          <w:rFonts w:hint="eastAsia" w:ascii="宋体" w:hAnsi="宋体" w:cs="仿宋"/>
          <w:b/>
          <w:bCs/>
          <w:color w:val="auto"/>
          <w:sz w:val="24"/>
          <w:szCs w:val="24"/>
          <w:highlight w:val="none"/>
        </w:rPr>
        <w:t xml:space="preserve">由授权代表负责质疑事宜的，《质疑函》附件中应提交由质疑供应商法定代表人或主要负责人签署的《授权委托书》。</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lang w:val="zh-CN"/>
        </w:rPr>
        <w:t xml:space="preserve">供应商如组成联合体参加采购活动，《质疑函范本》中要求加盖公章之处，联合体各方均须按要求加盖公章。</w:t>
      </w:r>
      <w:r>
        <w:rPr>
          <w:color w:val="auto"/>
          <w:highlight w:val="none"/>
        </w:rPr>
      </w:r>
      <w:r/>
    </w:p>
    <w:p>
      <w:pPr>
        <w:pStyle w:val="873"/>
        <w:ind w:firstLine="420"/>
        <w:jc w:val="left"/>
        <w:rPr>
          <w:rFonts w:hint="eastAsia" w:ascii="宋体" w:hAnsi="宋体"/>
          <w:b/>
          <w:bCs/>
          <w:color w:val="auto"/>
          <w:sz w:val="24"/>
          <w:szCs w:val="22"/>
          <w:highlight w:val="none"/>
        </w:rPr>
      </w:pPr>
      <w:r>
        <w:rPr>
          <w:rFonts w:hint="eastAsia" w:ascii="宋体" w:hAnsi="宋体"/>
          <w:color w:val="auto"/>
          <w:sz w:val="24"/>
          <w:highlight w:val="none"/>
        </w:rPr>
        <w:t xml:space="preserve">35.</w:t>
      </w:r>
      <w:r>
        <w:rPr>
          <w:rFonts w:hint="eastAsia" w:ascii="宋体" w:hAnsi="宋体"/>
          <w:b/>
          <w:bCs/>
          <w:color w:val="auto"/>
          <w:sz w:val="24"/>
          <w:highlight w:val="none"/>
        </w:rPr>
        <w:t xml:space="preserve">供应商根据质疑事项向相应的质疑答复主体提出质疑，具体详见采购文件第一章。</w:t>
      </w:r>
      <w:r>
        <w:rPr>
          <w:rFonts w:hint="eastAsia" w:ascii="宋体" w:hAnsi="宋体"/>
          <w:b/>
          <w:bCs/>
          <w:color w:val="auto"/>
          <w:sz w:val="24"/>
          <w:szCs w:val="22"/>
          <w:highlight w:val="none"/>
        </w:rPr>
        <w:t xml:space="preserve">由采购人负责答复的质疑，采购人将</w:t>
      </w:r>
      <w:r>
        <w:rPr>
          <w:rFonts w:hint="eastAsia" w:ascii="宋体" w:hAnsi="宋体" w:cs="仿宋"/>
          <w:b/>
          <w:bCs/>
          <w:color w:val="auto"/>
          <w:sz w:val="24"/>
          <w:szCs w:val="24"/>
          <w:highlight w:val="none"/>
        </w:rPr>
        <w:t xml:space="preserve">《质疑函》</w:t>
      </w:r>
      <w:r>
        <w:rPr>
          <w:rFonts w:hint="eastAsia" w:ascii="宋体" w:hAnsi="宋体"/>
          <w:b/>
          <w:bCs/>
          <w:color w:val="auto"/>
          <w:sz w:val="24"/>
          <w:szCs w:val="22"/>
          <w:highlight w:val="none"/>
        </w:rPr>
        <w:t xml:space="preserve">《质疑答复函》抄送交易中心。</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zh-CN"/>
        </w:rPr>
        <w:t xml:space="preserve">6</w:t>
      </w:r>
      <w:r>
        <w:rPr>
          <w:rFonts w:hint="eastAsia" w:ascii="宋体" w:hAnsi="宋体"/>
          <w:color w:val="auto"/>
          <w:sz w:val="24"/>
          <w:highlight w:val="none"/>
        </w:rPr>
        <w:t xml:space="preserve">.</w:t>
      </w:r>
      <w:r>
        <w:rPr>
          <w:rFonts w:hint="eastAsia" w:ascii="宋体" w:hAnsi="宋体"/>
          <w:color w:val="auto"/>
          <w:sz w:val="24"/>
          <w:highlight w:val="none"/>
          <w:lang w:val="zh-CN"/>
        </w:rPr>
        <w:t xml:space="preserve">以下情形的质疑不予受理：</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zh-CN"/>
        </w:rPr>
        <w:t xml:space="preserve">6.1 超出政府采购法定期限的质疑；</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zh-CN"/>
        </w:rPr>
        <w:t xml:space="preserve">6.2 </w:t>
      </w:r>
      <w:bookmarkStart w:id="188" w:name="OLE_LINK2"/>
      <w:r>
        <w:rPr>
          <w:rFonts w:hint="eastAsia" w:ascii="宋体" w:hAnsi="宋体"/>
          <w:color w:val="auto"/>
          <w:sz w:val="24"/>
          <w:highlight w:val="none"/>
        </w:rPr>
        <w:t xml:space="preserve">属于第33条规定的对</w:t>
      </w:r>
      <w:r>
        <w:rPr>
          <w:rFonts w:hint="eastAsia" w:ascii="宋体" w:hAnsi="宋体"/>
          <w:color w:val="auto"/>
          <w:sz w:val="24"/>
          <w:highlight w:val="none"/>
          <w:lang w:val="zh-CN"/>
        </w:rPr>
        <w:t xml:space="preserve">同一采购程序环节提出</w:t>
      </w:r>
      <w:r>
        <w:rPr>
          <w:rFonts w:hint="eastAsia" w:ascii="宋体" w:hAnsi="宋体"/>
          <w:color w:val="auto"/>
          <w:sz w:val="24"/>
          <w:highlight w:val="none"/>
        </w:rPr>
        <w:t xml:space="preserve">的多次</w:t>
      </w:r>
      <w:r>
        <w:rPr>
          <w:rFonts w:hint="eastAsia" w:ascii="宋体" w:hAnsi="宋体"/>
          <w:color w:val="auto"/>
          <w:sz w:val="24"/>
          <w:highlight w:val="none"/>
          <w:lang w:val="zh-CN"/>
        </w:rPr>
        <w:t xml:space="preserve">质疑；</w:t>
      </w:r>
      <w:bookmarkEnd w:id="188"/>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zh-CN"/>
        </w:rPr>
        <w:t xml:space="preserve">6.3 法律法规规定的</w:t>
      </w:r>
      <w:r>
        <w:rPr>
          <w:rFonts w:hint="eastAsia" w:ascii="宋体" w:hAnsi="宋体"/>
          <w:color w:val="auto"/>
          <w:sz w:val="24"/>
          <w:highlight w:val="none"/>
        </w:rPr>
        <w:t xml:space="preserve">其他</w:t>
      </w:r>
      <w:r>
        <w:rPr>
          <w:rFonts w:hint="eastAsia" w:ascii="宋体" w:hAnsi="宋体"/>
          <w:color w:val="auto"/>
          <w:sz w:val="24"/>
          <w:highlight w:val="none"/>
          <w:lang w:val="zh-CN"/>
        </w:rPr>
        <w:t xml:space="preserve">不予受理情形。</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rPr>
        <w:t xml:space="preserve">37.</w:t>
      </w:r>
      <w:r>
        <w:rPr>
          <w:rFonts w:hint="eastAsia" w:ascii="宋体" w:hAnsi="宋体"/>
          <w:color w:val="auto"/>
          <w:sz w:val="24"/>
          <w:highlight w:val="none"/>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color w:val="auto"/>
          <w:highlight w:val="none"/>
        </w:rPr>
      </w:r>
      <w:r/>
    </w:p>
    <w:p>
      <w:pPr>
        <w:pStyle w:val="876"/>
        <w:ind w:firstLine="465"/>
        <w:spacing w:before="145" w:after="145" w:line="240" w:lineRule="auto"/>
        <w:rPr>
          <w:rFonts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九、政策功能落实</w:t>
      </w:r>
      <w:r>
        <w:rPr>
          <w:color w:val="auto"/>
          <w:highlight w:val="none"/>
        </w:rPr>
      </w:r>
      <w:r/>
    </w:p>
    <w:p>
      <w:pPr>
        <w:pStyle w:val="877"/>
        <w:ind w:firstLine="420"/>
        <w:spacing w:before="0" w:after="0" w:line="24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lang w:val="zh-CN"/>
        </w:rPr>
        <w:t xml:space="preserve">38.促进中小企业发展</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rPr>
        <w:t xml:space="preserve">38.1 本项目</w:t>
      </w:r>
      <w:r>
        <w:rPr>
          <w:rFonts w:hint="eastAsia" w:ascii="宋体" w:hAnsi="宋体"/>
          <w:color w:val="auto"/>
          <w:sz w:val="24"/>
          <w:highlight w:val="none"/>
          <w:lang w:val="zh-CN"/>
        </w:rPr>
        <w:t xml:space="preserve">服务由中小企业承接的，</w:t>
      </w:r>
      <w:r>
        <w:rPr>
          <w:rFonts w:hint="eastAsia" w:ascii="宋体" w:hAnsi="宋体"/>
          <w:color w:val="auto"/>
          <w:sz w:val="24"/>
          <w:highlight w:val="none"/>
        </w:rPr>
        <w:t xml:space="preserve">投标供应商</w:t>
      </w:r>
      <w:r>
        <w:rPr>
          <w:rFonts w:hint="eastAsia" w:ascii="宋体" w:hAnsi="宋体"/>
          <w:color w:val="auto"/>
          <w:sz w:val="24"/>
          <w:highlight w:val="none"/>
          <w:lang w:val="zh-CN"/>
        </w:rPr>
        <w:t xml:space="preserve">享受中小企业扶持政策。</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rPr>
        <w:t xml:space="preserve">38.2 </w:t>
      </w:r>
      <w:r>
        <w:rPr>
          <w:rFonts w:hint="eastAsia" w:ascii="宋体" w:hAnsi="宋体"/>
          <w:color w:val="auto"/>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color w:val="auto"/>
          <w:highlight w:val="none"/>
        </w:rPr>
      </w:r>
      <w:r/>
    </w:p>
    <w:p>
      <w:pPr>
        <w:pStyle w:val="873"/>
        <w:ind w:firstLine="420"/>
        <w:pageBreakBefore w:val="0"/>
        <w:spacing w:line="240" w:lineRule="auto"/>
        <w:rPr>
          <w:rFonts w:hint="eastAsia" w:ascii="宋体" w:hAnsi="宋体" w:eastAsia="宋体" w:cs="Times New Roman"/>
          <w:color w:val="auto"/>
          <w:sz w:val="24"/>
          <w:highlight w:val="none"/>
        </w:rPr>
      </w:pPr>
      <w:r>
        <w:rPr>
          <w:rFonts w:hint="eastAsia" w:ascii="宋体" w:hAnsi="宋体"/>
          <w:color w:val="auto"/>
          <w:sz w:val="24"/>
          <w:highlight w:val="none"/>
        </w:rPr>
        <w:t xml:space="preserve">38.3 </w:t>
      </w:r>
      <w:r>
        <w:rPr>
          <w:rFonts w:hint="eastAsia" w:ascii="宋体" w:hAnsi="宋体"/>
          <w:color w:val="auto"/>
          <w:sz w:val="24"/>
          <w:highlight w:val="none"/>
          <w:lang w:val="zh-CN"/>
        </w:rPr>
        <w:t xml:space="preserve">中小企业参加政府采购活动，应当出具《中小企业声明函》，否则不享受相关中小企业</w:t>
      </w:r>
      <w:r>
        <w:rPr>
          <w:rFonts w:hint="eastAsia" w:ascii="宋体" w:hAnsi="宋体"/>
          <w:color w:val="auto"/>
          <w:sz w:val="24"/>
          <w:highlight w:val="none"/>
        </w:rPr>
        <w:t xml:space="preserve">支持</w:t>
      </w:r>
      <w:r>
        <w:rPr>
          <w:rFonts w:hint="eastAsia" w:ascii="宋体" w:hAnsi="宋体"/>
          <w:color w:val="auto"/>
          <w:sz w:val="24"/>
          <w:highlight w:val="none"/>
          <w:lang w:val="zh-CN"/>
        </w:rPr>
        <w:t xml:space="preserve">政策。</w:t>
      </w: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评审委员会评审</w:t>
      </w:r>
      <w:r>
        <w:rPr>
          <w:rFonts w:hint="eastAsia" w:ascii="宋体" w:hAnsi="宋体" w:eastAsia="宋体" w:cs="Times New Roman"/>
          <w:i w:val="0"/>
          <w:iCs w:val="0"/>
          <w:caps w:val="0"/>
          <w:color w:val="auto"/>
          <w:spacing w:val="0"/>
          <w:sz w:val="24"/>
          <w:szCs w:val="22"/>
          <w:highlight w:val="none"/>
          <w:shd w:val="clear" w:color="auto" w:fill="auto"/>
          <w:lang w:val="zh-CN"/>
        </w:rPr>
        <w:t xml:space="preserve">中发现</w:t>
      </w: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供应商提供的</w:t>
      </w:r>
      <w:r>
        <w:rPr>
          <w:rFonts w:hint="eastAsia" w:ascii="宋体" w:hAnsi="宋体" w:eastAsia="宋体" w:cs="Times New Roman"/>
          <w:color w:val="auto"/>
          <w:sz w:val="24"/>
          <w:highlight w:val="none"/>
          <w:lang w:val="zh-CN"/>
        </w:rPr>
        <w:t xml:space="preserve">《中小企业声明函》</w:t>
      </w:r>
      <w:r>
        <w:rPr>
          <w:rFonts w:hint="eastAsia" w:ascii="宋体" w:hAnsi="宋体" w:eastAsia="宋体" w:cs="Times New Roman"/>
          <w:i w:val="0"/>
          <w:iCs w:val="0"/>
          <w:caps w:val="0"/>
          <w:color w:val="auto"/>
          <w:spacing w:val="0"/>
          <w:sz w:val="24"/>
          <w:szCs w:val="22"/>
          <w:highlight w:val="none"/>
          <w:shd w:val="clear" w:color="auto" w:fill="auto"/>
          <w:lang w:val="zh-CN"/>
        </w:rPr>
        <w:t xml:space="preserve">内容含义不明确、同类事项与投标（响应）文件表述不一致或者有明显文字错误等情况的，应当以书面形式要求供应商作出必要的澄清、说明或者补正。</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rPr>
        <w:t xml:space="preserve">38.4 </w:t>
      </w:r>
      <w:r>
        <w:rPr>
          <w:rFonts w:hint="eastAsia" w:ascii="宋体" w:hAnsi="宋体"/>
          <w:color w:val="auto"/>
          <w:sz w:val="24"/>
          <w:highlight w:val="none"/>
          <w:lang w:val="zh-CN"/>
        </w:rPr>
        <w:t xml:space="preserve">以联合体形式参加政府采购活动，联合体各方均为中小企业的，联合体视同中小企业。其中，联合体各方均为小微企业的，联合体视同小微企业。</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lang w:val="zh-CN"/>
        </w:rPr>
        <w:t xml:space="preserve">3</w:t>
      </w:r>
      <w:r>
        <w:rPr>
          <w:rFonts w:hint="eastAsia" w:ascii="宋体" w:hAnsi="宋体"/>
          <w:color w:val="auto"/>
          <w:sz w:val="24"/>
          <w:highlight w:val="none"/>
        </w:rPr>
        <w:t xml:space="preserve">8</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 </w:t>
      </w:r>
      <w:r>
        <w:rPr>
          <w:rFonts w:hint="eastAsia" w:ascii="宋体" w:hAnsi="宋体" w:cs="宋体"/>
          <w:color w:val="auto"/>
          <w:sz w:val="24"/>
          <w:szCs w:val="24"/>
          <w:highlight w:val="none"/>
        </w:rPr>
        <w:t xml:space="preserve">监狱和戒毒企业（简称监狱企业）视同小型、微型企业</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按照</w:t>
      </w:r>
      <w:r>
        <w:rPr>
          <w:rFonts w:hint="eastAsia" w:ascii="宋体" w:hAnsi="宋体"/>
          <w:color w:val="auto"/>
          <w:sz w:val="24"/>
          <w:highlight w:val="none"/>
          <w:lang w:val="zh-CN"/>
        </w:rPr>
        <w:t xml:space="preserve">《关于政府采购支持监狱企业发展有关问题的通知》（财库〔2014〕68号）</w:t>
      </w:r>
      <w:r>
        <w:rPr>
          <w:rFonts w:hint="eastAsia" w:ascii="宋体" w:hAnsi="宋体"/>
          <w:color w:val="auto"/>
          <w:sz w:val="24"/>
          <w:highlight w:val="none"/>
        </w:rPr>
        <w:t xml:space="preserve">规定，</w:t>
      </w:r>
      <w:r>
        <w:rPr>
          <w:rFonts w:hint="eastAsia" w:ascii="宋体" w:hAnsi="宋体"/>
          <w:color w:val="auto"/>
          <w:sz w:val="24"/>
          <w:highlight w:val="none"/>
          <w:lang w:val="zh-CN"/>
        </w:rPr>
        <w:t xml:space="preserve">监狱企业需提供由省级以上监狱管理局、戒毒管理局(含新疆生产建设兵团)出具的属于监狱企业的证明文件。</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lang w:val="zh-CN"/>
        </w:rPr>
        <w:t xml:space="preserve">3</w:t>
      </w:r>
      <w:r>
        <w:rPr>
          <w:rFonts w:hint="eastAsia" w:ascii="宋体" w:hAnsi="宋体"/>
          <w:color w:val="auto"/>
          <w:sz w:val="24"/>
          <w:highlight w:val="none"/>
        </w:rPr>
        <w:t xml:space="preserve">8</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 残疾人福利性单位</w:t>
      </w:r>
      <w:r>
        <w:rPr>
          <w:rFonts w:hint="eastAsia" w:ascii="宋体" w:hAnsi="宋体" w:cs="宋体"/>
          <w:color w:val="auto"/>
          <w:sz w:val="24"/>
          <w:szCs w:val="24"/>
          <w:highlight w:val="none"/>
        </w:rPr>
        <w:t xml:space="preserve">视同小型、微型企业</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按照《关于促进残疾人就业政府采购政策的通知》（财库〔2017〕141号）规定，</w:t>
      </w:r>
      <w:r>
        <w:rPr>
          <w:rFonts w:hint="eastAsia" w:ascii="宋体" w:hAnsi="宋体" w:cs="宋体"/>
          <w:color w:val="auto"/>
          <w:sz w:val="24"/>
          <w:szCs w:val="24"/>
          <w:highlight w:val="none"/>
        </w:rPr>
        <w:t xml:space="preserve">残疾人福利单位</w:t>
      </w:r>
      <w:r>
        <w:rPr>
          <w:rFonts w:hint="eastAsia" w:ascii="宋体" w:hAnsi="宋体"/>
          <w:color w:val="auto"/>
          <w:sz w:val="24"/>
          <w:highlight w:val="none"/>
        </w:rPr>
        <w:t xml:space="preserve">需</w:t>
      </w:r>
      <w:r>
        <w:rPr>
          <w:rFonts w:hint="eastAsia" w:ascii="宋体" w:hAnsi="宋体"/>
          <w:color w:val="auto"/>
          <w:sz w:val="24"/>
          <w:highlight w:val="none"/>
          <w:lang w:val="zh-CN"/>
        </w:rPr>
        <w:t xml:space="preserve">提供《残疾人福利性单位声明函》。</w:t>
      </w:r>
      <w:r>
        <w:rPr>
          <w:color w:val="auto"/>
          <w:highlight w:val="none"/>
        </w:rPr>
      </w:r>
      <w:r/>
    </w:p>
    <w:p>
      <w:pPr>
        <w:pStyle w:val="877"/>
        <w:ind w:firstLine="420"/>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lang w:val="zh-CN"/>
        </w:rPr>
        <w:t xml:space="preserve">3</w:t>
      </w:r>
      <w:r>
        <w:rPr>
          <w:rFonts w:hint="eastAsia" w:ascii="方正楷体_GBK" w:hAnsi="方正楷体_GBK" w:eastAsia="方正楷体_GBK" w:cs="方正楷体_GBK"/>
          <w:color w:val="auto"/>
          <w:highlight w:val="none"/>
        </w:rPr>
        <w:t xml:space="preserve">9</w:t>
      </w:r>
      <w:r>
        <w:rPr>
          <w:rFonts w:hint="eastAsia" w:ascii="方正楷体_GBK" w:hAnsi="方正楷体_GBK" w:eastAsia="方正楷体_GBK" w:cs="方正楷体_GBK"/>
          <w:color w:val="auto"/>
          <w:highlight w:val="none"/>
          <w:lang w:val="zh-CN"/>
        </w:rPr>
        <w:t xml:space="preserve">.</w:t>
      </w:r>
      <w:r>
        <w:rPr>
          <w:rFonts w:hint="eastAsia" w:ascii="方正楷体_GBK" w:hAnsi="方正楷体_GBK" w:eastAsia="方正楷体_GBK" w:cs="方正楷体_GBK"/>
          <w:color w:val="auto"/>
          <w:highlight w:val="none"/>
        </w:rPr>
        <w:t xml:space="preserve">节能环保产品</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rPr>
        <w:t xml:space="preserve">39.2 采购产品</w:t>
      </w:r>
      <w:r>
        <w:rPr>
          <w:rFonts w:hint="eastAsia" w:ascii="宋体" w:hAnsi="宋体"/>
          <w:color w:val="auto"/>
          <w:sz w:val="24"/>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rPr>
        <w:t xml:space="preserve">39.3 采购产品</w:t>
      </w:r>
      <w:r>
        <w:rPr>
          <w:rFonts w:hint="eastAsia" w:ascii="宋体" w:hAnsi="宋体"/>
          <w:color w:val="auto"/>
          <w:sz w:val="24"/>
          <w:highlight w:val="none"/>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color w:val="auto"/>
          <w:sz w:val="24"/>
          <w:highlight w:val="none"/>
        </w:rPr>
        <w:t xml:space="preserve">第五章评标方法与评标标准</w:t>
      </w:r>
      <w:r>
        <w:rPr>
          <w:rFonts w:hint="eastAsia" w:ascii="宋体" w:hAnsi="宋体"/>
          <w:color w:val="auto"/>
          <w:sz w:val="24"/>
          <w:highlight w:val="none"/>
          <w:lang w:val="zh-CN"/>
        </w:rPr>
        <w:t xml:space="preserve">）。</w:t>
      </w:r>
      <w:r>
        <w:rPr>
          <w:color w:val="auto"/>
          <w:highlight w:val="none"/>
        </w:rPr>
      </w:r>
      <w:r/>
    </w:p>
    <w:p>
      <w:pPr>
        <w:pStyle w:val="877"/>
        <w:ind w:firstLine="420"/>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40</w:t>
      </w:r>
      <w:r>
        <w:rPr>
          <w:rFonts w:hint="eastAsia" w:ascii="方正楷体_GBK" w:hAnsi="方正楷体_GBK" w:eastAsia="方正楷体_GBK" w:cs="方正楷体_GBK"/>
          <w:color w:val="auto"/>
          <w:highlight w:val="none"/>
          <w:lang w:val="zh-CN"/>
        </w:rPr>
        <w:t xml:space="preserve">.</w:t>
      </w:r>
      <w:r>
        <w:rPr>
          <w:rFonts w:hint="eastAsia" w:ascii="方正楷体_GBK" w:hAnsi="方正楷体_GBK" w:eastAsia="方正楷体_GBK" w:cs="方正楷体_GBK"/>
          <w:color w:val="auto"/>
          <w:highlight w:val="none"/>
        </w:rPr>
        <w:t xml:space="preserve">绿色采购</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rPr>
        <w:t xml:space="preserve">40.1 采购产品</w:t>
      </w:r>
      <w:r>
        <w:rPr>
          <w:rFonts w:hint="eastAsia" w:ascii="宋体"/>
          <w:bCs/>
          <w:color w:val="auto"/>
          <w:sz w:val="24"/>
          <w:szCs w:val="24"/>
          <w:highlight w:val="none"/>
        </w:rPr>
        <w:t xml:space="preserve">中涉及商品包装、快递包装要求的，应按照</w:t>
      </w:r>
      <w:r>
        <w:rPr>
          <w:rFonts w:hint="eastAsia" w:ascii="宋体" w:hAnsi="宋体"/>
          <w:color w:val="auto"/>
          <w:sz w:val="24"/>
          <w:szCs w:val="22"/>
          <w:highlight w:val="none"/>
        </w:rPr>
        <w:t xml:space="preserve">《关于印发&lt;商品包装政府采购需求标准（试行）&gt;、&lt;快递包装政府采购需求标准（试行）&gt;的通知》（财办库〔2020〕123号）、</w:t>
      </w:r>
      <w:r>
        <w:rPr>
          <w:rFonts w:hint="eastAsia" w:ascii="宋体" w:hAnsi="宋体" w:cs="宋体"/>
          <w:color w:val="auto"/>
          <w:sz w:val="24"/>
          <w:szCs w:val="24"/>
          <w:highlight w:val="none"/>
        </w:rPr>
        <w:t xml:space="preserve">《江苏省财政厅关于加强政府绿色采购有关事项的通知》（苏财购〔2023〕65号）</w:t>
      </w:r>
      <w:r>
        <w:rPr>
          <w:rFonts w:hint="eastAsia" w:ascii="宋体" w:hAnsi="宋体"/>
          <w:color w:val="auto"/>
          <w:sz w:val="24"/>
          <w:highlight w:val="none"/>
        </w:rPr>
        <w:t xml:space="preserve">文件执行。采购文件对</w:t>
      </w:r>
      <w:r>
        <w:rPr>
          <w:rFonts w:hint="eastAsia" w:ascii="宋体"/>
          <w:bCs/>
          <w:color w:val="auto"/>
          <w:sz w:val="24"/>
          <w:szCs w:val="24"/>
          <w:highlight w:val="none"/>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rPr>
        <w:t xml:space="preserve">40.2 采购产品中涉及数据中心相关设备、运维服务的，应按照《关于印发〈绿色数据中心政府采购需求标准（试行）的通知》（财办库〔2023〕7号）、</w:t>
      </w:r>
      <w:r>
        <w:rPr>
          <w:rFonts w:hint="eastAsia" w:ascii="宋体" w:hAnsi="宋体" w:cs="宋体"/>
          <w:color w:val="auto"/>
          <w:sz w:val="24"/>
          <w:szCs w:val="24"/>
          <w:highlight w:val="none"/>
        </w:rPr>
        <w:t xml:space="preserve">《江苏省财政厅关于加强政府绿色采购有关事项的通知》（苏财购〔2023〕65号）</w:t>
      </w:r>
      <w:r>
        <w:rPr>
          <w:rFonts w:hint="eastAsia" w:ascii="宋体" w:hAnsi="宋体"/>
          <w:color w:val="auto"/>
          <w:sz w:val="24"/>
          <w:highlight w:val="none"/>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rPr>
          <w:color w:val="auto"/>
          <w:highlight w:val="none"/>
        </w:rPr>
      </w:r>
      <w:r/>
    </w:p>
    <w:p>
      <w:pPr>
        <w:pStyle w:val="877"/>
        <w:ind w:firstLine="420"/>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41</w:t>
      </w:r>
      <w:r>
        <w:rPr>
          <w:rFonts w:hint="eastAsia" w:ascii="方正楷体_GBK" w:hAnsi="方正楷体_GBK" w:eastAsia="方正楷体_GBK" w:cs="方正楷体_GBK"/>
          <w:color w:val="auto"/>
          <w:highlight w:val="none"/>
          <w:lang w:val="zh-CN"/>
        </w:rPr>
        <w:t xml:space="preserve">.</w:t>
      </w:r>
      <w:r>
        <w:rPr>
          <w:rFonts w:hint="eastAsia" w:ascii="方正楷体_GBK" w:hAnsi="方正楷体_GBK" w:eastAsia="方正楷体_GBK" w:cs="方正楷体_GBK"/>
          <w:color w:val="auto"/>
          <w:highlight w:val="none"/>
        </w:rPr>
        <w:t xml:space="preserve">创新产品采购</w:t>
      </w:r>
      <w:r>
        <w:rPr>
          <w:color w:val="auto"/>
          <w:highlight w:val="none"/>
        </w:rPr>
      </w:r>
      <w:r/>
    </w:p>
    <w:p>
      <w:pPr>
        <w:pStyle w:val="873"/>
        <w:ind w:firstLine="420"/>
        <w:widowControl/>
        <w:rPr>
          <w:rFonts w:hint="eastAsia" w:ascii="宋体" w:hAnsi="宋体"/>
          <w:color w:val="auto"/>
          <w:sz w:val="24"/>
          <w:highlight w:val="none"/>
        </w:rPr>
      </w:pPr>
      <w:r>
        <w:rPr>
          <w:rFonts w:hint="eastAsia" w:ascii="宋体" w:hAnsi="宋体"/>
          <w:color w:val="auto"/>
          <w:sz w:val="24"/>
          <w:highlight w:val="none"/>
        </w:rPr>
        <w:t xml:space="preserve">41.1 优先采购各级政府部门公开发布的有效期内的创新产品、首台套等《目录》内的创新产品。创新产品自进入《目录》起2年内视同具备相应销售业绩。</w:t>
      </w:r>
      <w:r>
        <w:rPr>
          <w:color w:val="auto"/>
          <w:highlight w:val="none"/>
        </w:rPr>
      </w:r>
      <w:r/>
    </w:p>
    <w:p>
      <w:pPr>
        <w:pStyle w:val="877"/>
        <w:ind w:firstLine="420"/>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42.</w:t>
      </w:r>
      <w:r>
        <w:rPr>
          <w:rFonts w:hint="eastAsia" w:ascii="方正楷体_GBK" w:hAnsi="方正楷体_GBK" w:eastAsia="方正楷体_GBK" w:cs="方正楷体_GBK"/>
          <w:color w:val="auto"/>
          <w:highlight w:val="none"/>
          <w:lang w:val="zh-CN"/>
        </w:rPr>
        <w:t xml:space="preserve">网络产品、市场准入类产品采购</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rPr>
        <w:t xml:space="preserve">42.1 </w:t>
      </w:r>
      <w:r>
        <w:rPr>
          <w:rFonts w:hint="eastAsia" w:ascii="宋体" w:hAnsi="宋体"/>
          <w:color w:val="auto"/>
          <w:sz w:val="24"/>
          <w:highlight w:val="none"/>
          <w:lang w:val="zh-CN"/>
        </w:rPr>
        <w:t xml:space="preserve">本</w:t>
      </w:r>
      <w:r>
        <w:rPr>
          <w:rFonts w:hint="eastAsia" w:ascii="宋体" w:hAnsi="宋体"/>
          <w:color w:val="auto"/>
          <w:sz w:val="24"/>
          <w:highlight w:val="none"/>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rPr>
        <w:t xml:space="preserve">42.2 </w:t>
      </w:r>
      <w:r>
        <w:rPr>
          <w:rFonts w:hint="eastAsia" w:ascii="宋体" w:hAnsi="宋体"/>
          <w:color w:val="auto"/>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color w:val="auto"/>
          <w:highlight w:val="none"/>
        </w:rPr>
      </w:r>
      <w:r/>
    </w:p>
    <w:p>
      <w:pPr>
        <w:pStyle w:val="877"/>
        <w:ind w:firstLine="420"/>
        <w:spacing w:before="0" w:after="0" w:line="24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lang w:val="zh-CN"/>
        </w:rPr>
        <w:t xml:space="preserve">43.实施本国产品标准及相关政策</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rPr>
        <w:t xml:space="preserve">43.</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color w:val="auto"/>
          <w:sz w:val="24"/>
          <w:highlight w:val="none"/>
          <w:lang w:val="zh-CN"/>
        </w:rPr>
        <w:t xml:space="preserve">。</w:t>
      </w:r>
      <w:r>
        <w:rPr>
          <w:color w:val="auto"/>
          <w:highlight w:val="none"/>
        </w:rPr>
      </w:r>
      <w:r/>
    </w:p>
    <w:p>
      <w:pPr>
        <w:pStyle w:val="873"/>
        <w:ind w:firstLine="420"/>
        <w:rPr>
          <w:rFonts w:hint="eastAsia" w:ascii="宋体" w:hAnsi="宋体"/>
          <w:color w:val="auto"/>
          <w:sz w:val="24"/>
          <w:szCs w:val="22"/>
          <w:highlight w:val="none"/>
        </w:rPr>
      </w:pPr>
      <w:r>
        <w:rPr>
          <w:rFonts w:hint="eastAsia" w:ascii="宋体" w:hAnsi="宋体"/>
          <w:color w:val="auto"/>
          <w:sz w:val="24"/>
          <w:highlight w:val="none"/>
          <w:lang w:val="zh-CN"/>
        </w:rPr>
        <w:t xml:space="preserve">43.2</w:t>
      </w:r>
      <w:r>
        <w:rPr>
          <w:rFonts w:hint="eastAsia" w:ascii="宋体" w:hAnsi="宋体"/>
          <w:color w:val="auto"/>
          <w:sz w:val="24"/>
          <w:szCs w:val="22"/>
          <w:highlight w:val="none"/>
          <w:lang w:val="zh-CN"/>
        </w:rPr>
        <w:t xml:space="preserve">本国产品应当符合以下条件：</w:t>
      </w:r>
      <w:r>
        <w:rPr>
          <w:color w:val="auto"/>
          <w:highlight w:val="none"/>
        </w:rPr>
      </w:r>
      <w:r/>
    </w:p>
    <w:p>
      <w:pPr>
        <w:pStyle w:val="873"/>
        <w:ind w:firstLine="420"/>
        <w:rPr>
          <w:rFonts w:hint="eastAsia" w:ascii="宋体" w:hAnsi="宋体"/>
          <w:color w:val="auto"/>
          <w:sz w:val="24"/>
          <w:szCs w:val="22"/>
          <w:highlight w:val="none"/>
        </w:rPr>
      </w:pPr>
      <w:r>
        <w:rPr>
          <w:rFonts w:hint="eastAsia" w:ascii="宋体" w:hAnsi="宋体"/>
          <w:color w:val="auto"/>
          <w:sz w:val="24"/>
          <w:szCs w:val="22"/>
          <w:highlight w:val="none"/>
          <w:lang w:val="zh-CN"/>
        </w:rPr>
        <w:t xml:space="preserve">（1）在中国境内生产</w:t>
      </w:r>
      <w:r>
        <w:rPr>
          <w:color w:val="auto"/>
          <w:highlight w:val="none"/>
        </w:rPr>
      </w:r>
      <w:r/>
    </w:p>
    <w:p>
      <w:pPr>
        <w:pStyle w:val="873"/>
        <w:ind w:firstLine="420"/>
        <w:rPr>
          <w:rFonts w:hint="eastAsia" w:ascii="宋体" w:hAnsi="宋体"/>
          <w:color w:val="auto"/>
          <w:sz w:val="24"/>
          <w:szCs w:val="22"/>
          <w:highlight w:val="none"/>
        </w:rPr>
      </w:pPr>
      <w:r>
        <w:rPr>
          <w:rFonts w:hint="eastAsia" w:ascii="宋体" w:hAnsi="宋体"/>
          <w:color w:val="auto"/>
          <w:sz w:val="24"/>
          <w:szCs w:val="22"/>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szCs w:val="22"/>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lang w:val="zh-CN"/>
        </w:rPr>
        <w:t xml:space="preserve">（2）在中国境内生产的组件成本占比达到规定比例</w:t>
      </w:r>
      <w:r>
        <w:rPr>
          <w:color w:val="auto"/>
          <w:highlight w:val="none"/>
        </w:rPr>
      </w:r>
      <w:r/>
    </w:p>
    <w:p>
      <w:pPr>
        <w:pStyle w:val="873"/>
        <w:ind w:firstLine="420"/>
        <w:rPr>
          <w:rFonts w:hint="eastAsia" w:ascii="宋体" w:hAnsi="宋体"/>
          <w:color w:val="auto"/>
          <w:sz w:val="24"/>
          <w:szCs w:val="22"/>
          <w:highlight w:val="none"/>
        </w:rPr>
      </w:pPr>
      <w:r>
        <w:rPr>
          <w:rFonts w:hint="eastAsia" w:ascii="宋体" w:hAnsi="宋体"/>
          <w:color w:val="auto"/>
          <w:sz w:val="24"/>
          <w:highlight w:val="none"/>
          <w:lang w:val="zh-CN"/>
        </w:rPr>
        <w:t xml:space="preserve">比例计算公式</w:t>
      </w:r>
      <w:r>
        <w:rPr>
          <w:rFonts w:hint="eastAsia" w:ascii="宋体" w:hAnsi="宋体"/>
          <w:color w:val="auto"/>
          <w:sz w:val="24"/>
          <w:szCs w:val="22"/>
          <w:highlight w:val="none"/>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color w:val="auto"/>
          <w:highlight w:val="none"/>
        </w:rPr>
      </w:r>
      <w:r/>
    </w:p>
    <w:p>
      <w:pPr>
        <w:pStyle w:val="873"/>
        <w:ind w:firstLine="420"/>
        <w:rPr>
          <w:rFonts w:hint="eastAsia" w:ascii="宋体" w:hAnsi="宋体"/>
          <w:color w:val="auto"/>
          <w:sz w:val="24"/>
          <w:szCs w:val="22"/>
          <w:highlight w:val="none"/>
        </w:rPr>
      </w:pPr>
      <w:r>
        <w:rPr>
          <w:rFonts w:hint="eastAsia" w:ascii="宋体" w:hAnsi="宋体"/>
          <w:color w:val="auto"/>
          <w:sz w:val="24"/>
          <w:szCs w:val="22"/>
          <w:highlight w:val="none"/>
          <w:lang w:val="zh-CN"/>
        </w:rPr>
        <w:t xml:space="preserve">（3）特定产品的关键组件、关键工序符合相关要求</w:t>
      </w:r>
      <w:r>
        <w:rPr>
          <w:color w:val="auto"/>
          <w:highlight w:val="none"/>
        </w:rPr>
      </w:r>
      <w:r/>
    </w:p>
    <w:p>
      <w:pPr>
        <w:pStyle w:val="873"/>
        <w:ind w:firstLine="420"/>
        <w:rPr>
          <w:rFonts w:hint="eastAsia" w:ascii="宋体" w:hAnsi="宋体"/>
          <w:color w:val="auto"/>
          <w:sz w:val="24"/>
          <w:szCs w:val="22"/>
          <w:highlight w:val="none"/>
        </w:rPr>
      </w:pPr>
      <w:r>
        <w:rPr>
          <w:rFonts w:hint="eastAsia" w:ascii="宋体" w:hAnsi="宋体"/>
          <w:color w:val="auto"/>
          <w:sz w:val="24"/>
          <w:szCs w:val="22"/>
          <w:highlight w:val="none"/>
          <w:lang w:val="zh-CN"/>
        </w:rPr>
        <w:t xml:space="preserve">对特定产品，在符合本通知第一条第（一）项和第（二）项条件的基础上，应当符合财政部会同有关行业主管部门确定的其关键组件、关键工序在中国境内生产、完成等要求。</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lang w:val="zh-CN"/>
        </w:rPr>
        <w:t xml:space="preserve">43.3本国产品标准的适用范围</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color w:val="auto"/>
          <w:highlight w:val="none"/>
        </w:rPr>
      </w:r>
      <w:r/>
    </w:p>
    <w:p>
      <w:pPr>
        <w:pStyle w:val="873"/>
        <w:ind w:firstLine="420"/>
        <w:rPr>
          <w:rFonts w:ascii="宋体" w:hAnsi="宋体"/>
          <w:color w:val="auto"/>
          <w:sz w:val="24"/>
          <w:highlight w:val="none"/>
        </w:rPr>
      </w:pPr>
      <w:r>
        <w:rPr>
          <w:rFonts w:hint="eastAsia" w:ascii="宋体" w:hAnsi="宋体"/>
          <w:color w:val="auto"/>
          <w:sz w:val="24"/>
          <w:highlight w:val="none"/>
        </w:rPr>
        <w:t xml:space="preserve">43.4对本国产品的支持政策</w:t>
      </w:r>
      <w:r>
        <w:rPr>
          <w:color w:val="auto"/>
          <w:highlight w:val="none"/>
        </w:rPr>
      </w:r>
      <w:r/>
    </w:p>
    <w:p>
      <w:pPr>
        <w:pStyle w:val="873"/>
        <w:ind w:firstLine="422"/>
        <w:rPr>
          <w:rFonts w:ascii="宋体" w:hAnsi="宋体"/>
          <w:b/>
          <w:bCs/>
          <w:color w:val="auto"/>
          <w:sz w:val="24"/>
          <w:highlight w:val="none"/>
        </w:rPr>
      </w:pPr>
      <w:r>
        <w:rPr>
          <w:rFonts w:hint="eastAsia" w:ascii="宋体" w:hAnsi="宋体"/>
          <w:b/>
          <w:bCs/>
          <w:color w:val="auto"/>
          <w:sz w:val="24"/>
          <w:highlight w:val="none"/>
        </w:rPr>
        <w:t xml:space="preserve">本项目如</w:t>
      </w:r>
      <w:r>
        <w:rPr>
          <w:rFonts w:hint="eastAsia" w:ascii="宋体" w:hAnsi="宋体"/>
          <w:b/>
          <w:bCs/>
          <w:color w:val="auto"/>
          <w:sz w:val="24"/>
          <w:highlight w:val="none"/>
          <w:lang w:val="zh-CN"/>
        </w:rPr>
        <w:t xml:space="preserve">既有本国产品又有非本国产品参与竞争，依法对本国产品给予价格评审优惠，</w:t>
      </w:r>
      <w:r>
        <w:rPr>
          <w:rFonts w:hint="eastAsia" w:ascii="宋体" w:hAnsi="宋体"/>
          <w:b/>
          <w:bCs/>
          <w:color w:val="auto"/>
          <w:sz w:val="24"/>
          <w:highlight w:val="none"/>
        </w:rPr>
        <w:t xml:space="preserve">具体详见第五章。</w:t>
      </w:r>
      <w:r>
        <w:rPr>
          <w:color w:val="auto"/>
          <w:highlight w:val="none"/>
        </w:rPr>
      </w:r>
      <w:r/>
    </w:p>
    <w:p>
      <w:pPr>
        <w:pStyle w:val="873"/>
        <w:ind w:firstLine="420"/>
        <w:rPr>
          <w:rFonts w:ascii="宋体" w:hAnsi="宋体"/>
          <w:color w:val="auto"/>
          <w:sz w:val="24"/>
          <w:highlight w:val="none"/>
        </w:rPr>
      </w:pPr>
      <w:r>
        <w:rPr>
          <w:rFonts w:hint="eastAsia" w:ascii="宋体" w:hAnsi="宋体"/>
          <w:color w:val="auto"/>
          <w:sz w:val="24"/>
          <w:highlight w:val="none"/>
        </w:rPr>
        <w:t xml:space="preserve">43.5政策执行要求</w:t>
      </w:r>
      <w:r>
        <w:rPr>
          <w:color w:val="auto"/>
          <w:highlight w:val="none"/>
        </w:rPr>
      </w:r>
      <w:r/>
    </w:p>
    <w:p>
      <w:pPr>
        <w:pStyle w:val="873"/>
        <w:ind w:firstLine="420"/>
        <w:rPr>
          <w:rFonts w:hint="eastAsia" w:ascii="宋体" w:hAnsi="宋体" w:cs="宋体"/>
          <w:color w:val="auto"/>
          <w:sz w:val="24"/>
          <w:szCs w:val="24"/>
          <w:highlight w:val="none"/>
          <w:shd w:val="clear" w:color="auto" w:fill="ffffff"/>
        </w:rPr>
      </w:pPr>
      <w:r>
        <w:rPr>
          <w:rFonts w:hint="eastAsia" w:ascii="宋体" w:hAnsi="宋体"/>
          <w:color w:val="auto"/>
          <w:sz w:val="24"/>
          <w:highlight w:val="none"/>
          <w:lang w:val="zh-CN"/>
        </w:rPr>
        <w:t xml:space="preserve">（</w:t>
      </w:r>
      <w:r>
        <w:rPr>
          <w:rFonts w:hint="eastAsia" w:ascii="宋体" w:hAnsi="宋体"/>
          <w:color w:val="auto"/>
          <w:sz w:val="24"/>
          <w:highlight w:val="none"/>
        </w:rPr>
        <w:t xml:space="preserve">1</w:t>
      </w:r>
      <w:r>
        <w:rPr>
          <w:rFonts w:hint="eastAsia" w:ascii="宋体" w:hAnsi="宋体"/>
          <w:color w:val="auto"/>
          <w:sz w:val="24"/>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color w:val="auto"/>
          <w:sz w:val="24"/>
          <w:highlight w:val="none"/>
        </w:rPr>
        <w:t xml:space="preserve">详见</w:t>
      </w:r>
      <w:r>
        <w:rPr>
          <w:rFonts w:hint="eastAsia" w:ascii="宋体" w:hAnsi="宋体" w:cs="宋体"/>
          <w:color w:val="auto"/>
          <w:sz w:val="24"/>
          <w:szCs w:val="24"/>
          <w:highlight w:val="none"/>
          <w:shd w:val="clear" w:color="auto" w:fill="ffffff"/>
        </w:rPr>
        <w:t xml:space="preserve">《国务院办公厅关于在政府采购中实施本国产品标准及相关政策的通知》（国办发〔2025〕34号）规定。</w:t>
      </w:r>
      <w:r>
        <w:rPr>
          <w:color w:val="auto"/>
          <w:highlight w:val="none"/>
        </w:rPr>
      </w:r>
      <w:r/>
    </w:p>
    <w:p>
      <w:pPr>
        <w:pStyle w:val="873"/>
        <w:ind w:firstLine="420"/>
        <w:rPr>
          <w:rFonts w:hint="eastAsia" w:ascii="宋体" w:hAnsi="宋体"/>
          <w:b/>
          <w:bCs/>
          <w:color w:val="auto"/>
          <w:sz w:val="24"/>
          <w:highlight w:val="none"/>
        </w:rPr>
      </w:pPr>
      <w:r>
        <w:rPr>
          <w:rFonts w:hint="eastAsia" w:ascii="宋体" w:hAnsi="宋体"/>
          <w:color w:val="auto"/>
          <w:sz w:val="24"/>
          <w:highlight w:val="none"/>
          <w:lang w:val="zh-CN"/>
        </w:rPr>
        <w:t xml:space="preserve">（2）有关证明文件。</w:t>
      </w:r>
      <w:r>
        <w:rPr>
          <w:rFonts w:hint="eastAsia" w:ascii="宋体" w:hAnsi="宋体"/>
          <w:b/>
          <w:bCs/>
          <w:color w:val="auto"/>
          <w:sz w:val="24"/>
          <w:highlight w:val="none"/>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color w:val="auto"/>
          <w:highlight w:val="none"/>
        </w:rPr>
      </w:r>
      <w:r/>
    </w:p>
    <w:p>
      <w:pPr>
        <w:pStyle w:val="873"/>
        <w:ind w:firstLine="420"/>
        <w:rPr>
          <w:rFonts w:hint="eastAsia" w:ascii="宋体" w:hAnsi="宋体"/>
          <w:color w:val="auto"/>
          <w:sz w:val="24"/>
          <w:highlight w:val="none"/>
        </w:rPr>
      </w:pPr>
      <w:r>
        <w:rPr>
          <w:rFonts w:hint="eastAsia" w:ascii="宋体" w:hAnsi="宋体"/>
          <w:color w:val="auto"/>
          <w:sz w:val="24"/>
          <w:szCs w:val="22"/>
          <w:highlight w:val="none"/>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color w:val="auto"/>
          <w:highlight w:val="none"/>
        </w:rPr>
      </w:r>
      <w:r/>
    </w:p>
    <w:p>
      <w:pPr>
        <w:pStyle w:val="951"/>
        <w:ind w:left="0"/>
        <w:jc w:val="center"/>
        <w:rPr>
          <w:rFonts w:hint="eastAsia" w:ascii="方正小标宋简体" w:hAnsi="方正小标宋简体" w:eastAsia="方正小标宋简体" w:cs="方正小标宋简体"/>
          <w:color w:val="auto"/>
          <w:sz w:val="36"/>
          <w:szCs w:val="36"/>
          <w:highlight w:val="none"/>
        </w:rPr>
        <w:outlineLvl w:val="0"/>
      </w:pPr>
      <w:r>
        <w:rPr>
          <w:rFonts w:hint="eastAsia"/>
          <w:color w:val="auto"/>
          <w:highlight w:val="none"/>
        </w:rPr>
        <w:br w:type="page" w:clear="all"/>
      </w:r>
      <w:r>
        <w:rPr>
          <w:rFonts w:hint="eastAsia" w:ascii="方正小标宋简体" w:hAnsi="方正小标宋简体" w:eastAsia="方正小标宋简体" w:cs="方正小标宋简体"/>
          <w:color w:val="auto"/>
          <w:sz w:val="36"/>
          <w:szCs w:val="36"/>
          <w:highlight w:val="none"/>
          <w:lang w:val="en-US"/>
        </w:rPr>
        <w:t xml:space="preserve">第三章  合同</w:t>
      </w:r>
      <w:bookmarkEnd w:id="57"/>
      <w:r>
        <w:rPr>
          <w:color w:val="auto"/>
          <w:highlight w:val="none"/>
        </w:rPr>
      </w:r>
      <w:bookmarkEnd w:id="58"/>
      <w:r>
        <w:rPr>
          <w:color w:val="auto"/>
          <w:highlight w:val="none"/>
        </w:rPr>
      </w:r>
      <w:bookmarkEnd w:id="59"/>
      <w:r>
        <w:rPr>
          <w:color w:val="auto"/>
          <w:highlight w:val="none"/>
        </w:rPr>
      </w:r>
      <w:bookmarkEnd w:id="60"/>
      <w:r>
        <w:rPr>
          <w:color w:val="auto"/>
          <w:highlight w:val="none"/>
        </w:rPr>
      </w:r>
      <w:bookmarkEnd w:id="61"/>
      <w:r>
        <w:rPr>
          <w:rFonts w:hint="eastAsia" w:ascii="方正小标宋简体" w:hAnsi="方正小标宋简体" w:eastAsia="方正小标宋简体" w:cs="方正小标宋简体"/>
          <w:color w:val="auto"/>
          <w:sz w:val="36"/>
          <w:szCs w:val="36"/>
          <w:highlight w:val="none"/>
          <w:lang w:val="en-US"/>
        </w:rPr>
        <w:t xml:space="preserve">文本</w:t>
      </w:r>
      <w:r>
        <w:rPr>
          <w:color w:val="auto"/>
          <w:highlight w:val="none"/>
        </w:rPr>
      </w:r>
      <w:r/>
    </w:p>
    <w:p>
      <w:pPr>
        <w:pStyle w:val="873"/>
        <w:jc w:val="center"/>
        <w:spacing w:before="145" w:after="145"/>
        <w:rPr>
          <w:rFonts w:hint="eastAsia" w:ascii="宋体" w:hAnsi="宋体"/>
          <w:bCs/>
          <w:color w:val="auto"/>
          <w:sz w:val="24"/>
          <w:highlight w:val="none"/>
        </w:rPr>
      </w:pPr>
      <w:r>
        <w:rPr>
          <w:color w:val="auto"/>
          <w:highlight w:val="none"/>
        </w:rPr>
      </w:r>
      <w:bookmarkStart w:id="189" w:name="_Toc16938559"/>
      <w:r>
        <w:rPr>
          <w:color w:val="auto"/>
          <w:highlight w:val="none"/>
        </w:rPr>
      </w:r>
      <w:bookmarkStart w:id="190" w:name="_Toc513029243"/>
      <w:r>
        <w:rPr>
          <w:color w:val="auto"/>
          <w:highlight w:val="none"/>
        </w:rPr>
      </w:r>
      <w:bookmarkStart w:id="191" w:name="_Toc20823315"/>
      <w:r>
        <w:rPr>
          <w:rFonts w:hint="eastAsia" w:ascii="宋体" w:hAnsi="宋体"/>
          <w:bCs/>
          <w:color w:val="auto"/>
          <w:sz w:val="24"/>
          <w:highlight w:val="none"/>
        </w:rPr>
        <w:t xml:space="preserve">以下为本项目的合同条款，合同双方不得对招标、投标文件内容作实质性修改。</w:t>
      </w:r>
      <w:r>
        <w:rPr>
          <w:color w:val="auto"/>
          <w:highlight w:val="none"/>
        </w:rPr>
      </w:r>
      <w:r/>
    </w:p>
    <w:p>
      <w:pPr>
        <w:pStyle w:val="951"/>
        <w:ind w:left="0"/>
        <w:rPr>
          <w:rFonts w:hint="eastAsia"/>
          <w:color w:val="auto"/>
          <w:highlight w:val="none"/>
        </w:rPr>
      </w:pPr>
      <w:r>
        <w:rPr>
          <w:rFonts w:hint="eastAsia"/>
          <w:color w:val="auto"/>
          <w:highlight w:val="none"/>
        </w:rPr>
      </w:r>
      <w:r>
        <w:rPr>
          <w:color w:val="auto"/>
          <w:highlight w:val="none"/>
        </w:rPr>
      </w:r>
      <w:r/>
    </w:p>
    <w:p>
      <w:pPr>
        <w:pStyle w:val="873"/>
        <w:jc w:val="center"/>
        <w:spacing w:before="145" w:after="145"/>
        <w:rPr>
          <w:rFonts w:hint="eastAsia" w:ascii="方正小标宋简体" w:hAnsi="方正小标宋简体" w:eastAsia="方正小标宋简体" w:cs="方正小标宋简体"/>
          <w:bCs/>
          <w:color w:val="auto"/>
          <w:sz w:val="32"/>
          <w:szCs w:val="32"/>
          <w:highlight w:val="none"/>
        </w:rPr>
      </w:pPr>
      <w:r>
        <w:rPr>
          <w:rFonts w:hint="eastAsia" w:ascii="方正小标宋简体" w:hAnsi="方正小标宋简体" w:eastAsia="方正小标宋简体" w:cs="方正小标宋简体"/>
          <w:bCs/>
          <w:color w:val="auto"/>
          <w:sz w:val="32"/>
          <w:szCs w:val="32"/>
          <w:highlight w:val="none"/>
        </w:rPr>
        <w:t xml:space="preserve">南京市政府采购合同（服务）</w:t>
      </w:r>
      <w:r>
        <w:rPr>
          <w:color w:val="auto"/>
          <w:highlight w:val="none"/>
        </w:rPr>
      </w:r>
      <w:r/>
    </w:p>
    <w:p>
      <w:pPr>
        <w:pStyle w:val="873"/>
        <w:jc w:val="left"/>
        <w:spacing w:before="145" w:after="145"/>
        <w:rPr>
          <w:rFonts w:ascii="宋体" w:hAnsi="宋体" w:cs="Courier New"/>
          <w:color w:val="auto"/>
          <w:sz w:val="24"/>
          <w:szCs w:val="24"/>
          <w:highlight w:val="none"/>
        </w:rPr>
      </w:pPr>
      <w:r>
        <w:rPr>
          <w:rFonts w:ascii="宋体" w:hAnsi="宋体" w:cs="Courier New"/>
          <w:color w:val="auto"/>
          <w:sz w:val="24"/>
          <w:szCs w:val="24"/>
          <w:highlight w:val="none"/>
        </w:rPr>
        <w:t xml:space="preserve">合同编号：</w:t>
      </w:r>
      <w:r>
        <w:rPr>
          <w:color w:val="auto"/>
          <w:highlight w:val="none"/>
        </w:rPr>
      </w:r>
      <w:r/>
    </w:p>
    <w:p>
      <w:pPr>
        <w:pStyle w:val="873"/>
        <w:jc w:val="left"/>
        <w:spacing w:before="145" w:after="145"/>
        <w:rPr>
          <w:rFonts w:ascii="宋体" w:hAnsi="宋体" w:cs="Courier New"/>
          <w:color w:val="auto"/>
          <w:sz w:val="24"/>
          <w:szCs w:val="24"/>
          <w:highlight w:val="none"/>
        </w:rPr>
      </w:pPr>
      <w:r>
        <w:rPr>
          <w:rFonts w:ascii="宋体" w:hAnsi="宋体" w:cs="Courier New"/>
          <w:color w:val="auto"/>
          <w:sz w:val="24"/>
          <w:szCs w:val="24"/>
          <w:highlight w:val="none"/>
        </w:rPr>
        <w:t xml:space="preserve">项目名称：</w:t>
      </w:r>
      <w:r>
        <w:rPr>
          <w:rFonts w:hint="eastAsia" w:ascii="宋体" w:hAnsi="宋体" w:eastAsia="宋体" w:cs="Courier New"/>
          <w:color w:val="auto"/>
          <w:sz w:val="24"/>
          <w:szCs w:val="24"/>
          <w:highlight w:val="none"/>
          <w:lang w:eastAsia="zh-CN"/>
        </w:rPr>
        <w:t xml:space="preserve">六合经济开发区2026-2027年度二片区园林绿化养护项目</w:t>
      </w:r>
      <w:r>
        <w:rPr>
          <w:rFonts w:ascii="宋体" w:hAnsi="宋体" w:cs="Courier New"/>
          <w:color w:val="auto"/>
          <w:sz w:val="24"/>
          <w:szCs w:val="24"/>
          <w:highlight w:val="none"/>
        </w:rPr>
        <w:t xml:space="preserve">                                       项目编号：</w:t>
      </w:r>
      <w:r>
        <w:rPr>
          <w:color w:val="auto"/>
          <w:highlight w:val="none"/>
        </w:rPr>
      </w:r>
      <w:r/>
    </w:p>
    <w:p>
      <w:pPr>
        <w:pStyle w:val="873"/>
        <w:jc w:val="left"/>
        <w:spacing w:before="0" w:after="0"/>
        <w:rPr>
          <w:rFonts w:ascii="宋体" w:hAnsi="宋体" w:cs="Courier New"/>
          <w:color w:val="auto"/>
          <w:sz w:val="24"/>
          <w:szCs w:val="24"/>
          <w:highlight w:val="none"/>
        </w:rPr>
      </w:pPr>
      <w:r>
        <w:rPr>
          <w:rFonts w:ascii="宋体" w:hAnsi="宋体" w:cs="Courier New"/>
          <w:color w:val="auto"/>
          <w:sz w:val="24"/>
          <w:szCs w:val="24"/>
          <w:highlight w:val="none"/>
        </w:rPr>
        <w:t xml:space="preserve">甲方（买方）：</w:t>
      </w:r>
      <w:r>
        <w:rPr>
          <w:rFonts w:hint="eastAsia" w:ascii="宋体" w:hAnsi="宋体" w:cs="Courier New"/>
          <w:color w:val="auto"/>
          <w:sz w:val="24"/>
          <w:szCs w:val="24"/>
          <w:highlight w:val="none"/>
        </w:rPr>
        <w:t xml:space="preserve">南京六合经济开发区管理委员会</w:t>
      </w:r>
      <w:r>
        <w:rPr>
          <w:color w:val="auto"/>
          <w:highlight w:val="none"/>
        </w:rPr>
      </w:r>
      <w:r/>
    </w:p>
    <w:p>
      <w:pPr>
        <w:pStyle w:val="873"/>
        <w:jc w:val="left"/>
        <w:spacing w:before="145" w:after="145"/>
        <w:rPr>
          <w:rFonts w:ascii="宋体" w:hAnsi="宋体" w:cs="Courier New"/>
          <w:color w:val="auto"/>
          <w:sz w:val="24"/>
          <w:szCs w:val="24"/>
          <w:highlight w:val="none"/>
        </w:rPr>
      </w:pPr>
      <w:r>
        <w:rPr>
          <w:rFonts w:ascii="宋体" w:hAnsi="宋体" w:cs="Courier New"/>
          <w:color w:val="auto"/>
          <w:sz w:val="24"/>
          <w:szCs w:val="24"/>
          <w:highlight w:val="none"/>
        </w:rPr>
        <w:t xml:space="preserve">乙方（卖方）：</w:t>
      </w:r>
      <w:r>
        <w:rPr>
          <w:color w:val="auto"/>
          <w:highlight w:val="none"/>
        </w:rPr>
      </w:r>
      <w:r/>
    </w:p>
    <w:p>
      <w:pPr>
        <w:pStyle w:val="873"/>
        <w:rPr>
          <w:rFonts w:ascii="宋体" w:hAnsi="宋体" w:cs="Courier New"/>
          <w:b/>
          <w:color w:val="auto"/>
          <w:sz w:val="24"/>
          <w:szCs w:val="24"/>
          <w:highlight w:val="none"/>
        </w:rPr>
      </w:pPr>
      <w:r>
        <w:rPr>
          <w:rFonts w:ascii="宋体" w:hAnsi="宋体" w:cs="Courier New"/>
          <w:b/>
          <w:color w:val="auto"/>
          <w:sz w:val="24"/>
          <w:szCs w:val="24"/>
          <w:highlight w:val="none"/>
        </w:rPr>
        <w:t xml:space="preserve">   </w:t>
      </w:r>
      <w:r>
        <w:rPr>
          <w:rFonts w:hint="eastAsia" w:ascii="宋体" w:hAnsi="宋体" w:cs="Courier New"/>
          <w:b/>
          <w:color w:val="auto"/>
          <w:sz w:val="24"/>
          <w:szCs w:val="24"/>
          <w:highlight w:val="none"/>
        </w:rPr>
        <w:t xml:space="preserve"> </w:t>
      </w:r>
      <w:r>
        <w:rPr>
          <w:rFonts w:ascii="宋体" w:hAnsi="宋体" w:cs="Courier New"/>
          <w:color w:val="auto"/>
          <w:sz w:val="24"/>
          <w:szCs w:val="24"/>
          <w:highlight w:val="none"/>
        </w:rPr>
        <w:t xml:space="preserve">甲、乙双方根据</w:t>
      </w:r>
      <w:r>
        <w:rPr>
          <w:rFonts w:hint="eastAsia" w:ascii="宋体" w:hAnsi="宋体" w:cs="Courier New"/>
          <w:color w:val="auto"/>
          <w:sz w:val="24"/>
          <w:szCs w:val="24"/>
          <w:highlight w:val="none"/>
          <w:lang w:eastAsia="zh-CN"/>
        </w:rPr>
        <w:t xml:space="preserve">南京市公共资源交易中心六合分中心</w:t>
      </w:r>
      <w:r>
        <w:rPr>
          <w:rFonts w:hint="eastAsia" w:ascii="宋体" w:hAnsi="宋体" w:cs="Courier New"/>
          <w:color w:val="auto"/>
          <w:sz w:val="24"/>
          <w:szCs w:val="24"/>
          <w:highlight w:val="none"/>
        </w:rPr>
        <w:t xml:space="preserve">组织的</w:t>
      </w:r>
      <w:r>
        <w:rPr>
          <w:rFonts w:hint="eastAsia" w:hAnsi="宋体" w:cs="Courier New"/>
          <w:color w:val="auto"/>
          <w:sz w:val="24"/>
          <w:szCs w:val="24"/>
          <w:highlight w:val="none"/>
        </w:rPr>
        <w:t xml:space="preserve">_</w:t>
      </w:r>
      <w:r>
        <w:rPr>
          <w:rFonts w:hint="eastAsia" w:hAnsi="宋体" w:cs="Courier New"/>
          <w:color w:val="auto"/>
          <w:sz w:val="24"/>
          <w:szCs w:val="24"/>
          <w:highlight w:val="none"/>
          <w:u w:val="single"/>
        </w:rPr>
        <w:t xml:space="preserve">六合经济开发区2026-2027年度二片区绿化养护项目_</w:t>
      </w:r>
      <w:r>
        <w:rPr>
          <w:rFonts w:ascii="宋体" w:hAnsi="宋体" w:cs="Courier New"/>
          <w:color w:val="auto"/>
          <w:sz w:val="24"/>
          <w:szCs w:val="24"/>
          <w:highlight w:val="none"/>
        </w:rPr>
        <w:t xml:space="preserve">项目公开招标结果</w:t>
      </w:r>
      <w:r>
        <w:rPr>
          <w:rFonts w:hint="eastAsia" w:ascii="宋体" w:hAnsi="宋体" w:cs="Courier New"/>
          <w:color w:val="auto"/>
          <w:sz w:val="24"/>
          <w:szCs w:val="24"/>
          <w:highlight w:val="none"/>
        </w:rPr>
        <w:t xml:space="preserve">，</w:t>
      </w:r>
      <w:r>
        <w:rPr>
          <w:rFonts w:ascii="宋体" w:hAnsi="宋体" w:cs="Courier New"/>
          <w:color w:val="auto"/>
          <w:sz w:val="24"/>
          <w:szCs w:val="24"/>
          <w:highlight w:val="none"/>
        </w:rPr>
        <w:t xml:space="preserve">签署本合同。</w:t>
      </w:r>
      <w:r>
        <w:rPr>
          <w:color w:val="auto"/>
          <w:highlight w:val="none"/>
        </w:rPr>
      </w:r>
      <w:r/>
    </w:p>
    <w:p>
      <w:pPr>
        <w:pStyle w:val="873"/>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一、合同内容</w:t>
      </w:r>
      <w:r>
        <w:rPr>
          <w:color w:val="auto"/>
          <w:highlight w:val="none"/>
        </w:rPr>
      </w:r>
      <w:r/>
    </w:p>
    <w:p>
      <w:pPr>
        <w:pStyle w:val="873"/>
        <w:rPr>
          <w:rFonts w:ascii="宋体" w:hAnsi="宋体" w:cs="Courier New"/>
          <w:color w:val="auto"/>
          <w:sz w:val="24"/>
          <w:szCs w:val="24"/>
          <w:highlight w:val="none"/>
        </w:rPr>
      </w:pPr>
      <w:r>
        <w:rPr>
          <w:rFonts w:ascii="宋体" w:hAnsi="宋体" w:cs="Courier New"/>
          <w:color w:val="auto"/>
          <w:sz w:val="24"/>
          <w:szCs w:val="24"/>
          <w:highlight w:val="none"/>
        </w:rPr>
        <w:t xml:space="preserve">1.1 </w:t>
      </w:r>
      <w:r>
        <w:rPr>
          <w:rFonts w:hint="eastAsia" w:ascii="宋体" w:hAnsi="宋体" w:cs="Courier New"/>
          <w:color w:val="auto"/>
          <w:sz w:val="24"/>
          <w:szCs w:val="24"/>
          <w:highlight w:val="none"/>
        </w:rPr>
        <w:t xml:space="preserve">标的</w:t>
      </w:r>
      <w:r>
        <w:rPr>
          <w:rFonts w:ascii="宋体" w:hAnsi="宋体" w:cs="Courier New"/>
          <w:color w:val="auto"/>
          <w:sz w:val="24"/>
          <w:szCs w:val="24"/>
          <w:highlight w:val="none"/>
        </w:rPr>
        <w:t xml:space="preserve">名称：</w:t>
      </w:r>
      <w:r>
        <w:rPr>
          <w:color w:val="auto"/>
          <w:highlight w:val="none"/>
        </w:rPr>
      </w:r>
      <w:r/>
    </w:p>
    <w:p>
      <w:pPr>
        <w:pStyle w:val="873"/>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1.2</w:t>
      </w:r>
      <w:r>
        <w:rPr>
          <w:rFonts w:hint="eastAsia" w:ascii="宋体" w:hAnsi="宋体" w:cs="Courier New"/>
          <w:color w:val="auto"/>
          <w:sz w:val="24"/>
          <w:szCs w:val="24"/>
          <w:highlight w:val="none"/>
        </w:rPr>
        <w:t xml:space="preserve"> 标的质量：按招标文件及投标文件执行。</w:t>
      </w:r>
      <w:r>
        <w:rPr>
          <w:color w:val="auto"/>
          <w:highlight w:val="none"/>
        </w:rPr>
      </w:r>
      <w:r/>
    </w:p>
    <w:p>
      <w:pPr>
        <w:pStyle w:val="873"/>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.3 标的数量（规模）：按招标文件及投标文件执行。</w:t>
      </w:r>
      <w:r>
        <w:rPr>
          <w:color w:val="auto"/>
          <w:highlight w:val="none"/>
        </w:rPr>
      </w:r>
      <w:r/>
    </w:p>
    <w:p>
      <w:pPr>
        <w:pStyle w:val="873"/>
        <w:ind w:firstLine="0"/>
        <w:rPr>
          <w:rFonts w:hint="eastAsia" w:ascii="宋体" w:hAnsi="宋体" w:eastAsia="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.4 履行时间（期限）：</w:t>
      </w:r>
      <w:r>
        <w:rPr>
          <w:rFonts w:hint="eastAsia" w:ascii="宋体" w:hAnsi="宋体"/>
          <w:color w:val="auto"/>
          <w:sz w:val="24"/>
          <w:szCs w:val="24"/>
          <w:highlight w:val="none"/>
        </w:rPr>
        <w:t xml:space="preserve">（</w:t>
      </w:r>
      <w:r>
        <w:rPr>
          <w:rFonts w:hint="eastAsia" w:ascii="宋体" w:hAnsi="宋体" w:eastAsia="宋体" w:cs="Courier New"/>
          <w:color w:val="auto"/>
          <w:sz w:val="24"/>
          <w:szCs w:val="24"/>
          <w:highlight w:val="none"/>
        </w:rPr>
        <w:t xml:space="preserve">1）合同服务期一年。一年合同期满后，经采购人考核，达到续签标准并经甲乙双方同意后可续签合同，采用一年一续签方式，</w:t>
      </w:r>
      <w:r>
        <w:rPr>
          <w:rFonts w:hint="eastAsia" w:ascii="宋体" w:hAnsi="宋体" w:eastAsia="宋体" w:cs="Courier New"/>
          <w:color w:val="auto"/>
          <w:sz w:val="24"/>
          <w:szCs w:val="24"/>
          <w:highlight w:val="none"/>
          <w:lang w:val="en-US" w:eastAsia="zh-CN"/>
        </w:rPr>
        <w:t xml:space="preserve">最多可续签两次</w:t>
      </w:r>
      <w:r>
        <w:rPr>
          <w:rFonts w:hint="eastAsia" w:ascii="宋体" w:hAnsi="宋体" w:eastAsia="宋体" w:cs="Courier New"/>
          <w:color w:val="auto"/>
          <w:sz w:val="24"/>
          <w:szCs w:val="24"/>
          <w:highlight w:val="none"/>
        </w:rPr>
        <w:t xml:space="preserve">。</w:t>
      </w:r>
      <w:r>
        <w:rPr>
          <w:color w:val="auto"/>
          <w:highlight w:val="none"/>
        </w:rPr>
      </w:r>
      <w:r/>
    </w:p>
    <w:p>
      <w:pPr>
        <w:pStyle w:val="873"/>
        <w:ind w:firstLine="0"/>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（2</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续签考核标准：</w:t>
      </w:r>
      <w:r>
        <w:rPr>
          <w:rFonts w:hint="eastAsia" w:ascii="宋体" w:hAnsi="宋体" w:eastAsia="宋体" w:cs="Courier New"/>
          <w:color w:val="auto"/>
          <w:sz w:val="24"/>
          <w:szCs w:val="24"/>
          <w:highlight w:val="none"/>
          <w:lang w:eastAsia="zh-CN"/>
        </w:rPr>
        <w:t xml:space="preserve">总考核成绩达95分（含）</w:t>
      </w:r>
      <w:r>
        <w:rPr>
          <w:rFonts w:hint="eastAsia" w:ascii="宋体" w:hAnsi="宋体" w:eastAsia="宋体" w:cs="Courier New"/>
          <w:color w:val="auto"/>
          <w:sz w:val="24"/>
          <w:szCs w:val="24"/>
          <w:highlight w:val="none"/>
        </w:rPr>
        <w:t xml:space="preserve">以上。总考核成绩计算方式及考核方式按照《园林绿化养护管理考核评分细则》规定执行。</w:t>
      </w:r>
      <w:r>
        <w:rPr>
          <w:color w:val="auto"/>
          <w:highlight w:val="none"/>
        </w:rPr>
      </w:r>
      <w:r/>
    </w:p>
    <w:p>
      <w:pPr>
        <w:pStyle w:val="873"/>
        <w:ind w:firstLine="0"/>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（3</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续签合同服务事项内容及要求条款按照本项目招标文件及合同所约定的条款执行</w:t>
      </w:r>
      <w:r>
        <w:rPr>
          <w:rFonts w:hint="eastAsia" w:ascii="宋体" w:hAnsi="宋体" w:eastAsia="宋体" w:cs="Courier New"/>
          <w:color w:val="auto"/>
          <w:sz w:val="24"/>
          <w:szCs w:val="24"/>
          <w:highlight w:val="none"/>
          <w:lang w:eastAsia="zh-CN"/>
        </w:rPr>
        <w:t xml:space="preserve">。</w:t>
      </w:r>
      <w:r>
        <w:rPr>
          <w:color w:val="auto"/>
          <w:highlight w:val="none"/>
        </w:rPr>
      </w:r>
      <w:r/>
    </w:p>
    <w:p>
      <w:pPr>
        <w:pStyle w:val="873"/>
        <w:ind w:firstLine="0"/>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（4</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续签依据《政府购买服务管理办法》（财政部令第102号）第二十四条之规定。</w:t>
      </w:r>
      <w:r>
        <w:rPr>
          <w:color w:val="auto"/>
          <w:highlight w:val="none"/>
        </w:rPr>
      </w:r>
      <w:r/>
    </w:p>
    <w:p>
      <w:pPr>
        <w:pStyle w:val="873"/>
        <w:ind w:firstLine="0"/>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lang w:val="en-US" w:eastAsia="zh-CN"/>
        </w:rPr>
        <w:t xml:space="preserve">5</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续签合同名称约定：本合同对应项目名称为</w:t>
      </w:r>
      <w:r>
        <w:rPr>
          <w:rFonts w:hint="eastAsia" w:ascii="宋体" w:hAnsi="宋体" w:eastAsia="宋体" w:cs="Courier New"/>
          <w:color w:val="auto"/>
          <w:sz w:val="24"/>
          <w:szCs w:val="24"/>
          <w:highlight w:val="none"/>
          <w:lang w:eastAsia="zh-CN"/>
        </w:rPr>
        <w:t xml:space="preserve">六合经济开发区2026-2027年度二片区园林绿化养护项目</w:t>
      </w:r>
      <w:r>
        <w:rPr>
          <w:rFonts w:hint="eastAsia" w:ascii="宋体" w:hAnsi="宋体" w:eastAsia="宋体" w:cs="Courier New"/>
          <w:color w:val="auto"/>
          <w:sz w:val="24"/>
          <w:szCs w:val="24"/>
          <w:highlight w:val="none"/>
        </w:rPr>
        <w:t xml:space="preserve">。若乙方符合合同续签条件，双方后续签订的续签合同，其项目名称规范为：</w:t>
      </w:r>
      <w:r>
        <w:rPr>
          <w:rFonts w:hint="eastAsia" w:ascii="宋体" w:hAnsi="宋体" w:eastAsia="宋体" w:cs="Courier New"/>
          <w:color w:val="auto"/>
          <w:sz w:val="24"/>
          <w:szCs w:val="24"/>
          <w:highlight w:val="none"/>
          <w:lang w:eastAsia="zh-CN"/>
        </w:rPr>
        <w:t xml:space="preserve">六合经济开发区202</w:t>
      </w:r>
      <w:r>
        <w:rPr>
          <w:rFonts w:hint="eastAsia" w:ascii="宋体" w:hAnsi="宋体" w:eastAsia="宋体" w:cs="Courier New"/>
          <w:color w:val="auto"/>
          <w:sz w:val="24"/>
          <w:szCs w:val="24"/>
          <w:highlight w:val="none"/>
          <w:lang w:val="en-US" w:eastAsia="zh-CN"/>
        </w:rPr>
        <w:t xml:space="preserve">7</w:t>
      </w:r>
      <w:r>
        <w:rPr>
          <w:rFonts w:hint="eastAsia" w:ascii="宋体" w:hAnsi="宋体" w:eastAsia="宋体" w:cs="Courier New"/>
          <w:color w:val="auto"/>
          <w:sz w:val="24"/>
          <w:szCs w:val="24"/>
          <w:highlight w:val="none"/>
          <w:lang w:eastAsia="zh-CN"/>
        </w:rPr>
        <w:t xml:space="preserve">-202</w:t>
      </w:r>
      <w:r>
        <w:rPr>
          <w:rFonts w:hint="eastAsia" w:ascii="宋体" w:hAnsi="宋体" w:eastAsia="宋体" w:cs="Courier New"/>
          <w:color w:val="auto"/>
          <w:sz w:val="24"/>
          <w:szCs w:val="24"/>
          <w:highlight w:val="none"/>
          <w:lang w:val="en-US" w:eastAsia="zh-CN"/>
        </w:rPr>
        <w:t xml:space="preserve">8</w:t>
      </w:r>
      <w:r>
        <w:rPr>
          <w:rFonts w:hint="eastAsia" w:ascii="宋体" w:hAnsi="宋体" w:eastAsia="宋体" w:cs="Courier New"/>
          <w:color w:val="auto"/>
          <w:sz w:val="24"/>
          <w:szCs w:val="24"/>
          <w:highlight w:val="none"/>
          <w:lang w:eastAsia="zh-CN"/>
        </w:rPr>
        <w:t xml:space="preserve">年度二片区园林绿化养护项目、六合经济开发区202</w:t>
      </w:r>
      <w:r>
        <w:rPr>
          <w:rFonts w:hint="eastAsia" w:ascii="宋体" w:hAnsi="宋体" w:eastAsia="宋体" w:cs="Courier New"/>
          <w:color w:val="auto"/>
          <w:sz w:val="24"/>
          <w:szCs w:val="24"/>
          <w:highlight w:val="none"/>
          <w:lang w:val="en-US" w:eastAsia="zh-CN"/>
        </w:rPr>
        <w:t xml:space="preserve">8</w:t>
      </w:r>
      <w:r>
        <w:rPr>
          <w:rFonts w:hint="eastAsia" w:ascii="宋体" w:hAnsi="宋体" w:eastAsia="宋体" w:cs="Courier New"/>
          <w:color w:val="auto"/>
          <w:sz w:val="24"/>
          <w:szCs w:val="24"/>
          <w:highlight w:val="none"/>
          <w:lang w:eastAsia="zh-CN"/>
        </w:rPr>
        <w:t xml:space="preserve">-202</w:t>
      </w:r>
      <w:r>
        <w:rPr>
          <w:rFonts w:hint="eastAsia" w:ascii="宋体" w:hAnsi="宋体" w:eastAsia="宋体" w:cs="Courier New"/>
          <w:color w:val="auto"/>
          <w:sz w:val="24"/>
          <w:szCs w:val="24"/>
          <w:highlight w:val="none"/>
          <w:lang w:val="en-US" w:eastAsia="zh-CN"/>
        </w:rPr>
        <w:t xml:space="preserve">9</w:t>
      </w:r>
      <w:r>
        <w:rPr>
          <w:rFonts w:hint="eastAsia" w:ascii="宋体" w:hAnsi="宋体" w:eastAsia="宋体" w:cs="Courier New"/>
          <w:color w:val="auto"/>
          <w:sz w:val="24"/>
          <w:szCs w:val="24"/>
          <w:highlight w:val="none"/>
          <w:lang w:eastAsia="zh-CN"/>
        </w:rPr>
        <w:t xml:space="preserve">年度二片区园林绿化养护项目</w:t>
      </w:r>
      <w:r>
        <w:rPr>
          <w:rFonts w:hint="eastAsia" w:ascii="宋体" w:hAnsi="宋体" w:eastAsia="宋体" w:cs="Courier New"/>
          <w:color w:val="auto"/>
          <w:sz w:val="24"/>
          <w:szCs w:val="24"/>
          <w:highlight w:val="none"/>
        </w:rPr>
        <w:t xml:space="preserve">。本条款所涉项目名称仅为年度标识调整，项目服务范围、服务标准、养护内容、责任主体及合同其他实质性条款，除双方另行书面约定外，均按招标文件及本合同相关约定执行。</w:t>
      </w:r>
      <w:r>
        <w:rPr>
          <w:color w:val="auto"/>
          <w:highlight w:val="none"/>
        </w:rPr>
      </w:r>
      <w:r/>
    </w:p>
    <w:p>
      <w:pPr>
        <w:pStyle w:val="873"/>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.5 履行地点：甲方指定地点。</w:t>
      </w:r>
      <w:r>
        <w:rPr>
          <w:color w:val="auto"/>
          <w:highlight w:val="none"/>
        </w:rPr>
      </w:r>
      <w:r/>
    </w:p>
    <w:p>
      <w:pPr>
        <w:pStyle w:val="873"/>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6 履行方式：按招标文件及投标文件执行。</w:t>
      </w:r>
      <w:r>
        <w:rPr>
          <w:color w:val="auto"/>
          <w:highlight w:val="none"/>
        </w:rPr>
      </w:r>
      <w:r/>
    </w:p>
    <w:p>
      <w:pPr>
        <w:pStyle w:val="873"/>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.7 包装方式：按招标文件及投标文件执行。</w:t>
      </w:r>
      <w:r>
        <w:rPr>
          <w:color w:val="auto"/>
          <w:highlight w:val="none"/>
        </w:rPr>
      </w:r>
      <w:r/>
    </w:p>
    <w:p>
      <w:pPr>
        <w:pStyle w:val="873"/>
        <w:rPr>
          <w:rFonts w:ascii="宋体" w:hAnsi="宋体" w:cs="Courier New"/>
          <w:color w:val="auto"/>
          <w:sz w:val="24"/>
          <w:szCs w:val="24"/>
          <w:highlight w:val="none"/>
        </w:rPr>
      </w:pPr>
      <w:r>
        <w:rPr>
          <w:rFonts w:ascii="宋体" w:hAnsi="宋体" w:cs="宋体"/>
          <w:color w:val="auto"/>
          <w:sz w:val="24"/>
          <w:szCs w:val="24"/>
          <w:highlight w:val="none"/>
        </w:rPr>
        <w:t xml:space="preserve">1.8</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color w:val="auto"/>
          <w:highlight w:val="none"/>
        </w:rPr>
      </w:r>
      <w:r/>
    </w:p>
    <w:p>
      <w:pPr>
        <w:pStyle w:val="873"/>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二、合同金额</w:t>
      </w:r>
      <w:r>
        <w:rPr>
          <w:color w:val="auto"/>
          <w:highlight w:val="none"/>
        </w:rPr>
      </w:r>
      <w:r/>
    </w:p>
    <w:p>
      <w:pPr>
        <w:pStyle w:val="912"/>
        <w:rPr>
          <w:rFonts w:hAnsi="宋体"/>
          <w:color w:val="auto"/>
          <w:sz w:val="24"/>
          <w:szCs w:val="24"/>
          <w:highlight w:val="none"/>
        </w:rPr>
      </w:pPr>
      <w:r>
        <w:rPr>
          <w:rFonts w:hAnsi="宋体"/>
          <w:color w:val="auto"/>
          <w:sz w:val="24"/>
          <w:szCs w:val="24"/>
          <w:highlight w:val="none"/>
        </w:rPr>
        <w:t xml:space="preserve">2.1 </w:t>
      </w:r>
      <w:r>
        <w:rPr>
          <w:rFonts w:hint="eastAsia" w:hAnsi="宋体"/>
          <w:color w:val="auto"/>
          <w:sz w:val="24"/>
          <w:szCs w:val="24"/>
          <w:highlight w:val="none"/>
        </w:rPr>
        <w:t xml:space="preserve">本合同金额为：</w:t>
      </w:r>
      <w:r>
        <w:rPr>
          <w:rFonts w:hint="eastAsia" w:hAnsi="宋体"/>
          <w:color w:val="auto"/>
          <w:sz w:val="24"/>
          <w:szCs w:val="24"/>
          <w:highlight w:val="none"/>
          <w:lang w:val="en-US" w:eastAsia="zh-CN"/>
        </w:rPr>
        <w:t xml:space="preserve">人民币</w:t>
      </w:r>
      <w:r>
        <w:rPr>
          <w:rFonts w:hint="eastAsia" w:hAnsi="宋体"/>
          <w:color w:val="auto"/>
          <w:sz w:val="24"/>
          <w:szCs w:val="24"/>
          <w:highlight w:val="none"/>
        </w:rPr>
        <w:t xml:space="preserve">____________________</w:t>
      </w:r>
      <w:r>
        <w:rPr>
          <w:rFonts w:hint="eastAsia" w:hAnsi="宋体"/>
          <w:color w:val="auto"/>
          <w:sz w:val="24"/>
          <w:szCs w:val="24"/>
          <w:highlight w:val="none"/>
          <w:lang w:val="en-US" w:eastAsia="zh-CN"/>
        </w:rPr>
        <w:t xml:space="preserve">元</w:t>
      </w:r>
      <w:r>
        <w:rPr>
          <w:rFonts w:hint="eastAsia" w:hAnsi="宋体"/>
          <w:color w:val="auto"/>
          <w:sz w:val="24"/>
          <w:szCs w:val="24"/>
          <w:highlight w:val="none"/>
        </w:rPr>
        <w:t xml:space="preserve">，（</w:t>
      </w:r>
      <w:r>
        <w:rPr>
          <w:rFonts w:hint="eastAsia" w:hAnsi="宋体"/>
          <w:color w:val="auto"/>
          <w:sz w:val="24"/>
          <w:szCs w:val="24"/>
          <w:highlight w:val="none"/>
          <w:lang w:val="en-US" w:eastAsia="zh-CN"/>
        </w:rPr>
        <w:t xml:space="preserve">大</w:t>
      </w:r>
      <w:r>
        <w:rPr>
          <w:rFonts w:hint="eastAsia" w:hAnsi="宋体"/>
          <w:color w:val="auto"/>
          <w:sz w:val="24"/>
          <w:szCs w:val="24"/>
          <w:highlight w:val="none"/>
        </w:rPr>
        <w:t xml:space="preserve">写</w:t>
      </w:r>
      <w:r>
        <w:rPr>
          <w:rFonts w:hint="eastAsia" w:hAnsi="宋体"/>
          <w:color w:val="auto"/>
          <w:sz w:val="24"/>
          <w:szCs w:val="24"/>
          <w:highlight w:val="none"/>
          <w:lang w:eastAsia="zh-CN"/>
        </w:rPr>
        <w:t xml:space="preserve">：</w:t>
      </w:r>
      <w:r>
        <w:rPr>
          <w:rFonts w:hint="eastAsia" w:hAnsi="宋体"/>
          <w:color w:val="auto"/>
          <w:sz w:val="24"/>
          <w:szCs w:val="24"/>
          <w:highlight w:val="none"/>
          <w:u w:val="none"/>
        </w:rPr>
        <w:t xml:space="preserve">_____________________</w:t>
      </w:r>
      <w:r>
        <w:rPr>
          <w:rFonts w:hint="eastAsia" w:hAnsi="宋体"/>
          <w:color w:val="auto"/>
          <w:sz w:val="24"/>
          <w:szCs w:val="24"/>
          <w:highlight w:val="none"/>
          <w:lang w:eastAsia="zh-CN"/>
        </w:rPr>
        <w:t xml:space="preserve">）</w:t>
      </w:r>
      <w:r>
        <w:rPr>
          <w:color w:val="auto"/>
          <w:highlight w:val="none"/>
        </w:rPr>
      </w:r>
      <w:r/>
    </w:p>
    <w:p>
      <w:pPr>
        <w:pStyle w:val="873"/>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三、技术资料</w:t>
      </w:r>
      <w:r>
        <w:rPr>
          <w:color w:val="auto"/>
          <w:highlight w:val="none"/>
        </w:rPr>
      </w:r>
      <w:r/>
    </w:p>
    <w:p>
      <w:pPr>
        <w:pStyle w:val="873"/>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3.1 乙方应按招标文件规定的时间向甲方提供服务（包含与服务相关的货物）的有关技术资料。</w:t>
      </w:r>
      <w:r>
        <w:rPr>
          <w:color w:val="auto"/>
          <w:highlight w:val="none"/>
        </w:rPr>
      </w:r>
      <w:r/>
    </w:p>
    <w:p>
      <w:pPr>
        <w:pStyle w:val="873"/>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color w:val="auto"/>
          <w:highlight w:val="none"/>
        </w:rPr>
      </w:r>
      <w:r/>
    </w:p>
    <w:p>
      <w:pPr>
        <w:pStyle w:val="873"/>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四、知识产权</w:t>
      </w:r>
      <w:r>
        <w:rPr>
          <w:color w:val="auto"/>
          <w:highlight w:val="none"/>
        </w:rPr>
      </w:r>
      <w:r/>
    </w:p>
    <w:p>
      <w:pPr>
        <w:pStyle w:val="873"/>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rPr>
          <w:color w:val="auto"/>
          <w:highlight w:val="none"/>
        </w:rPr>
      </w:r>
      <w:r/>
    </w:p>
    <w:p>
      <w:pPr>
        <w:pStyle w:val="873"/>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五、产权担保</w:t>
      </w:r>
      <w:r>
        <w:rPr>
          <w:color w:val="auto"/>
          <w:highlight w:val="none"/>
        </w:rPr>
      </w:r>
      <w:r/>
    </w:p>
    <w:p>
      <w:pPr>
        <w:pStyle w:val="873"/>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5.1 乙方保证所交付的服务（包含与服务相关的货物）的所有权完全属于乙方且无任何抵押、查封等产权瑕疵。</w:t>
      </w:r>
      <w:r>
        <w:rPr>
          <w:color w:val="auto"/>
          <w:highlight w:val="none"/>
        </w:rPr>
      </w:r>
      <w:r/>
    </w:p>
    <w:p>
      <w:pPr>
        <w:pStyle w:val="873"/>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六、履约保证金</w:t>
      </w:r>
      <w:r>
        <w:rPr>
          <w:color w:val="auto"/>
          <w:highlight w:val="none"/>
        </w:rPr>
      </w:r>
      <w:r/>
    </w:p>
    <w:p>
      <w:pPr>
        <w:pStyle w:val="873"/>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6.1 签订合同时，乙方按照合同金额</w:t>
      </w:r>
      <w:r>
        <w:rPr>
          <w:rFonts w:hint="eastAsia" w:ascii="宋体" w:hAnsi="宋体" w:cs="Courier New"/>
          <w:color w:val="auto"/>
          <w:sz w:val="24"/>
          <w:szCs w:val="24"/>
          <w:highlight w:val="none"/>
          <w:lang w:val="en-US" w:eastAsia="zh-CN"/>
        </w:rPr>
        <w:t xml:space="preserve">10</w:t>
      </w:r>
      <w:r>
        <w:rPr>
          <w:rFonts w:hint="eastAsia" w:ascii="宋体" w:hAnsi="宋体" w:cs="Courier New"/>
          <w:color w:val="auto"/>
          <w:sz w:val="24"/>
          <w:szCs w:val="24"/>
          <w:highlight w:val="none"/>
        </w:rPr>
        <w:t xml:space="preserve">%缴纳履约保证金。合同履行结束后，甲方按以下约定退还：</w:t>
      </w:r>
      <w:r>
        <w:rPr>
          <w:color w:val="auto"/>
          <w:highlight w:val="none"/>
        </w:rPr>
      </w:r>
      <w:r/>
    </w:p>
    <w:p>
      <w:pPr>
        <w:pStyle w:val="873"/>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6.1.1 退还时间及条件：验收合格且合同履行期结束后5个工作日内。</w:t>
      </w:r>
      <w:r>
        <w:rPr>
          <w:color w:val="auto"/>
          <w:highlight w:val="none"/>
        </w:rPr>
      </w:r>
      <w:r/>
    </w:p>
    <w:p>
      <w:pPr>
        <w:pStyle w:val="873"/>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6.1.2 退还方式：扣除违约费用后一次性无息退还。</w:t>
      </w:r>
      <w:r>
        <w:rPr>
          <w:color w:val="auto"/>
          <w:highlight w:val="none"/>
        </w:rPr>
      </w:r>
      <w:r/>
    </w:p>
    <w:p>
      <w:pPr>
        <w:pStyle w:val="873"/>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6.1.3 不予退还的情形：合同约定的交付期内未履约完成、验收不合格、整改不到位等情形。</w:t>
      </w:r>
      <w:r>
        <w:rPr>
          <w:color w:val="auto"/>
          <w:highlight w:val="none"/>
        </w:rPr>
      </w:r>
      <w:r/>
    </w:p>
    <w:p>
      <w:pPr>
        <w:pStyle w:val="873"/>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6.1.4 逾期退还履约保证金责任：甲方逾期退还履约保证金的，除应当退还履约保证金本金外，还应当按照每日万分之五的利率支付逾期利息，但因乙方自身原因导致无法及时退还的除外。</w:t>
      </w:r>
      <w:r>
        <w:rPr>
          <w:color w:val="auto"/>
          <w:highlight w:val="none"/>
        </w:rPr>
      </w:r>
      <w:r/>
    </w:p>
    <w:p>
      <w:pPr>
        <w:pStyle w:val="873"/>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rPr>
          <w:color w:val="auto"/>
          <w:highlight w:val="none"/>
        </w:rPr>
      </w:r>
      <w:r/>
    </w:p>
    <w:p>
      <w:pPr>
        <w:pStyle w:val="873"/>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七、合同转包或分包</w:t>
      </w:r>
      <w:r>
        <w:rPr>
          <w:color w:val="auto"/>
          <w:highlight w:val="none"/>
        </w:rPr>
      </w:r>
      <w:r/>
    </w:p>
    <w:p>
      <w:pPr>
        <w:pStyle w:val="873"/>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7.1 乙方不得将合同标的转包给他人履行。</w:t>
      </w:r>
      <w:r>
        <w:rPr>
          <w:color w:val="auto"/>
          <w:highlight w:val="none"/>
        </w:rPr>
      </w:r>
      <w:r/>
    </w:p>
    <w:p>
      <w:pPr>
        <w:pStyle w:val="873"/>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7.2 除招标文件接受分包并经甲方同意，乙方可按分包意向协议分包情况外，乙方不得将合同标的分包给他人履行。</w:t>
      </w:r>
      <w:r>
        <w:rPr>
          <w:color w:val="auto"/>
          <w:highlight w:val="none"/>
        </w:rPr>
      </w:r>
      <w:r/>
    </w:p>
    <w:p>
      <w:pPr>
        <w:pStyle w:val="873"/>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7.3 乙方如有转包或未经甲方同意的分包行为，甲方有权终止合同。</w:t>
      </w:r>
      <w:r>
        <w:rPr>
          <w:color w:val="auto"/>
          <w:highlight w:val="none"/>
        </w:rPr>
      </w:r>
      <w:r/>
    </w:p>
    <w:p>
      <w:pPr>
        <w:pStyle w:val="873"/>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八、合同款项支付</w:t>
      </w:r>
      <w:r>
        <w:rPr>
          <w:color w:val="auto"/>
          <w:highlight w:val="none"/>
        </w:rPr>
      </w:r>
      <w:r/>
    </w:p>
    <w:p>
      <w:pPr>
        <w:pStyle w:val="912"/>
        <w:rPr>
          <w:rFonts w:hint="eastAsia" w:hAnsi="宋体"/>
          <w:color w:val="auto"/>
          <w:sz w:val="24"/>
          <w:szCs w:val="24"/>
          <w:highlight w:val="none"/>
        </w:rPr>
        <w:outlineLvl w:val="3"/>
      </w:pPr>
      <w:r>
        <w:rPr>
          <w:rFonts w:hint="eastAsia" w:hAnsi="宋体"/>
          <w:color w:val="auto"/>
          <w:sz w:val="24"/>
          <w:szCs w:val="24"/>
          <w:highlight w:val="none"/>
        </w:rPr>
        <w:t xml:space="preserve">8.1 合同款项的支付方式及时间</w:t>
      </w:r>
      <w:r>
        <w:rPr>
          <w:color w:val="auto"/>
          <w:highlight w:val="none"/>
        </w:rPr>
      </w:r>
      <w:r/>
    </w:p>
    <w:p>
      <w:pPr>
        <w:pStyle w:val="873"/>
        <w:ind w:firstLine="0"/>
        <w:spacing w:line="0" w:lineRule="atLeas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8.1.1 </w:t>
      </w:r>
      <w:r>
        <w:rPr>
          <w:rFonts w:hint="eastAsia" w:ascii="宋体" w:hAnsi="宋体" w:cs="Courier New"/>
          <w:color w:val="auto"/>
          <w:sz w:val="24"/>
          <w:szCs w:val="24"/>
          <w:highlight w:val="none"/>
        </w:rPr>
        <w:t xml:space="preserve">本项目合同签订单位为南京六合经济开发区管理委员会，中标供应商申请支付进度款时开具以南京六合经济开发区管理委员会为抬头的正规发票，中标供应商配合相关资金流程的办理。</w:t>
      </w:r>
      <w:r>
        <w:rPr>
          <w:color w:val="auto"/>
          <w:highlight w:val="none"/>
        </w:rPr>
      </w:r>
      <w:r/>
    </w:p>
    <w:p>
      <w:pPr>
        <w:pStyle w:val="873"/>
        <w:ind w:firstLine="0"/>
        <w:spacing w:line="0" w:lineRule="atLeast"/>
        <w:rPr>
          <w:rFonts w:hint="eastAsia" w:ascii="宋体" w:hAnsi="宋体" w:cs="Courier New"/>
          <w:b w:val="0"/>
          <w:bCs w:val="0"/>
          <w:color w:val="auto"/>
          <w:sz w:val="24"/>
          <w:szCs w:val="24"/>
          <w:highlight w:val="none"/>
        </w:rPr>
      </w:pPr>
      <w:r>
        <w:rPr>
          <w:rFonts w:hint="eastAsia" w:ascii="宋体" w:hAnsi="宋体" w:cs="Courier New"/>
          <w:color w:val="auto"/>
          <w:sz w:val="24"/>
          <w:szCs w:val="24"/>
          <w:highlight w:val="none"/>
        </w:rPr>
        <w:t xml:space="preserve">8.1.</w:t>
      </w:r>
      <w:r>
        <w:rPr>
          <w:rFonts w:hint="eastAsia" w:ascii="宋体" w:hAnsi="宋体" w:cs="Courier New"/>
          <w:b w:val="0"/>
          <w:bCs w:val="0"/>
          <w:color w:val="auto"/>
          <w:sz w:val="24"/>
          <w:szCs w:val="24"/>
          <w:highlight w:val="none"/>
        </w:rPr>
        <w:t xml:space="preserve">2</w:t>
      </w:r>
      <w:r>
        <w:rPr>
          <w:rFonts w:ascii="Segoe UI" w:hAnsi="Segoe UI" w:eastAsia="Segoe UI" w:cs="Segoe UI"/>
          <w:b w:val="0"/>
          <w:bCs w:val="0"/>
          <w:i w:val="0"/>
          <w:iCs w:val="0"/>
          <w:caps w:val="0"/>
          <w:color w:val="auto"/>
          <w:spacing w:val="0"/>
          <w:sz w:val="24"/>
          <w:szCs w:val="24"/>
          <w:highlight w:val="none"/>
          <w:shd w:val="clear" w:color="auto" w:fill="ffffff"/>
        </w:rPr>
        <w:t xml:space="preserve">预付款金额为合同金额的10%。预付款在第一季度应付进度款中一次性等额扣回；若第一季度应付进度款不足以抵扣全部预付款，则未抵扣部分顺延至下一季度继续扣回，直至抵扣完毕。</w:t>
      </w:r>
      <w:r>
        <w:rPr>
          <w:color w:val="auto"/>
          <w:highlight w:val="none"/>
        </w:rPr>
      </w:r>
      <w:r/>
    </w:p>
    <w:p>
      <w:pPr>
        <w:pStyle w:val="873"/>
        <w:ind w:firstLine="0"/>
        <w:spacing w:line="0" w:lineRule="atLeast"/>
        <w:rPr>
          <w:rFonts w:ascii="Segoe UI" w:hAnsi="Segoe UI" w:eastAsia="Segoe UI" w:cs="Segoe UI"/>
          <w:b w:val="0"/>
          <w:bCs w:val="0"/>
          <w:i w:val="0"/>
          <w:iCs w:val="0"/>
          <w:caps w:val="0"/>
          <w:color w:val="auto"/>
          <w:spacing w:val="0"/>
          <w:sz w:val="24"/>
          <w:szCs w:val="24"/>
          <w:highlight w:val="none"/>
          <w:shd w:val="clear" w:color="auto" w:fill="ffffff"/>
        </w:rPr>
      </w:pPr>
      <w:r>
        <w:rPr>
          <w:rFonts w:hint="eastAsia" w:ascii="宋体" w:hAnsi="宋体" w:cs="Courier New"/>
          <w:b w:val="0"/>
          <w:bCs w:val="0"/>
          <w:color w:val="auto"/>
          <w:sz w:val="24"/>
          <w:szCs w:val="24"/>
          <w:highlight w:val="none"/>
        </w:rPr>
        <w:t xml:space="preserve">8.1.3</w:t>
      </w:r>
      <w:r>
        <w:rPr>
          <w:rFonts w:hint="eastAsia" w:ascii="Segoe UI" w:hAnsi="Segoe UI" w:eastAsia="宋体" w:cs="Segoe UI"/>
          <w:b w:val="0"/>
          <w:bCs w:val="0"/>
          <w:i w:val="0"/>
          <w:iCs w:val="0"/>
          <w:caps w:val="0"/>
          <w:color w:val="auto"/>
          <w:spacing w:val="0"/>
          <w:sz w:val="24"/>
          <w:szCs w:val="24"/>
          <w:highlight w:val="none"/>
          <w:shd w:val="clear" w:color="auto" w:fill="ffffff"/>
          <w:lang w:val="en-US" w:eastAsia="zh-CN"/>
        </w:rPr>
        <w:t xml:space="preserve">进度款</w:t>
      </w:r>
      <w:r>
        <w:rPr>
          <w:rFonts w:ascii="Segoe UI" w:hAnsi="Segoe UI" w:eastAsia="Segoe UI" w:cs="Segoe UI"/>
          <w:b w:val="0"/>
          <w:bCs w:val="0"/>
          <w:i w:val="0"/>
          <w:iCs w:val="0"/>
          <w:caps w:val="0"/>
          <w:color w:val="auto"/>
          <w:spacing w:val="0"/>
          <w:sz w:val="24"/>
          <w:szCs w:val="24"/>
          <w:highlight w:val="none"/>
          <w:shd w:val="clear" w:color="auto" w:fill="ffffff"/>
        </w:rPr>
        <w:t xml:space="preserve">根据甲方每月考核得分按月计算、按季度汇总支付</w:t>
      </w:r>
      <w:r>
        <w:rPr>
          <w:rFonts w:hint="eastAsia" w:ascii="Segoe UI" w:hAnsi="Segoe UI" w:eastAsia="宋体" w:cs="Segoe UI"/>
          <w:b w:val="0"/>
          <w:bCs w:val="0"/>
          <w:i w:val="0"/>
          <w:iCs w:val="0"/>
          <w:caps w:val="0"/>
          <w:color w:val="auto"/>
          <w:spacing w:val="0"/>
          <w:sz w:val="24"/>
          <w:szCs w:val="24"/>
          <w:highlight w:val="none"/>
          <w:shd w:val="clear" w:color="auto" w:fill="ffffff"/>
          <w:lang w:eastAsia="zh-CN"/>
        </w:rPr>
        <w:t xml:space="preserve">；月进度款按月养护费的</w:t>
      </w:r>
      <w:r>
        <w:rPr>
          <w:rFonts w:hint="eastAsia" w:ascii="Segoe UI" w:hAnsi="Segoe UI" w:eastAsia="宋体" w:cs="Segoe UI"/>
          <w:b w:val="0"/>
          <w:bCs w:val="0"/>
          <w:i w:val="0"/>
          <w:iCs w:val="0"/>
          <w:caps w:val="0"/>
          <w:color w:val="auto"/>
          <w:spacing w:val="0"/>
          <w:sz w:val="24"/>
          <w:szCs w:val="24"/>
          <w:highlight w:val="none"/>
          <w:shd w:val="clear" w:color="auto" w:fill="ffffff"/>
          <w:lang w:val="en-US" w:eastAsia="zh-CN"/>
        </w:rPr>
        <w:t xml:space="preserve">60%计取，</w:t>
      </w:r>
      <w:r>
        <w:rPr>
          <w:rFonts w:ascii="Segoe UI" w:hAnsi="Segoe UI" w:eastAsia="Segoe UI" w:cs="Segoe UI"/>
          <w:b w:val="0"/>
          <w:bCs w:val="0"/>
          <w:i w:val="0"/>
          <w:iCs w:val="0"/>
          <w:caps w:val="0"/>
          <w:color w:val="auto"/>
          <w:spacing w:val="0"/>
          <w:sz w:val="24"/>
          <w:szCs w:val="24"/>
          <w:highlight w:val="none"/>
          <w:shd w:val="clear" w:color="auto" w:fill="ffffff"/>
        </w:rPr>
        <w:t xml:space="preserve">进度款支付时应扣除当月对应产生的违约扣款。</w:t>
      </w:r>
      <w:r>
        <w:rPr>
          <w:rFonts w:hint="eastAsia" w:ascii="Segoe UI" w:hAnsi="Segoe UI" w:eastAsia="宋体" w:cs="Segoe UI"/>
          <w:b w:val="0"/>
          <w:bCs w:val="0"/>
          <w:i w:val="0"/>
          <w:iCs w:val="0"/>
          <w:caps w:val="0"/>
          <w:color w:val="auto"/>
          <w:spacing w:val="0"/>
          <w:sz w:val="24"/>
          <w:szCs w:val="24"/>
          <w:highlight w:val="none"/>
          <w:shd w:val="clear" w:color="auto" w:fill="ffffff"/>
          <w:lang w:eastAsia="zh-CN"/>
        </w:rPr>
        <w:t xml:space="preserve">剩余款项</w:t>
      </w:r>
      <w:r>
        <w:rPr>
          <w:rFonts w:ascii="Segoe UI" w:hAnsi="Segoe UI" w:eastAsia="Segoe UI" w:cs="Segoe UI"/>
          <w:b w:val="0"/>
          <w:bCs w:val="0"/>
          <w:i w:val="0"/>
          <w:iCs w:val="0"/>
          <w:caps w:val="0"/>
          <w:color w:val="auto"/>
          <w:spacing w:val="0"/>
          <w:sz w:val="24"/>
          <w:szCs w:val="24"/>
          <w:highlight w:val="none"/>
          <w:shd w:val="clear" w:color="auto" w:fill="ffffff"/>
        </w:rPr>
        <w:t xml:space="preserve">根据年度养护考核结果，在合同期满且结算审计完成</w:t>
      </w:r>
      <w:r>
        <w:rPr>
          <w:rFonts w:hint="eastAsia" w:ascii="Segoe UI" w:hAnsi="Segoe UI" w:eastAsia="宋体" w:cs="Segoe UI"/>
          <w:b w:val="0"/>
          <w:bCs w:val="0"/>
          <w:i w:val="0"/>
          <w:iCs w:val="0"/>
          <w:caps w:val="0"/>
          <w:color w:val="auto"/>
          <w:spacing w:val="0"/>
          <w:sz w:val="24"/>
          <w:szCs w:val="24"/>
          <w:highlight w:val="none"/>
          <w:shd w:val="clear" w:color="auto" w:fill="ffffff"/>
          <w:lang w:eastAsia="zh-CN"/>
        </w:rPr>
        <w:t xml:space="preserve">、资料移交完毕</w:t>
      </w:r>
      <w:r>
        <w:rPr>
          <w:rFonts w:ascii="Segoe UI" w:hAnsi="Segoe UI" w:eastAsia="Segoe UI" w:cs="Segoe UI"/>
          <w:b w:val="0"/>
          <w:bCs w:val="0"/>
          <w:i w:val="0"/>
          <w:iCs w:val="0"/>
          <w:caps w:val="0"/>
          <w:color w:val="auto"/>
          <w:spacing w:val="0"/>
          <w:sz w:val="24"/>
          <w:szCs w:val="24"/>
          <w:highlight w:val="none"/>
          <w:shd w:val="clear" w:color="auto" w:fill="ffffff"/>
        </w:rPr>
        <w:t xml:space="preserve">后支付</w:t>
      </w:r>
      <w:r>
        <w:rPr>
          <w:rFonts w:hint="eastAsia" w:ascii="Segoe UI" w:hAnsi="Segoe UI" w:eastAsia="宋体" w:cs="Segoe UI"/>
          <w:b w:val="0"/>
          <w:bCs w:val="0"/>
          <w:i w:val="0"/>
          <w:iCs w:val="0"/>
          <w:caps w:val="0"/>
          <w:color w:val="auto"/>
          <w:spacing w:val="0"/>
          <w:sz w:val="24"/>
          <w:szCs w:val="24"/>
          <w:highlight w:val="none"/>
          <w:shd w:val="clear" w:color="auto" w:fill="ffffff"/>
          <w:lang w:eastAsia="zh-CN"/>
        </w:rPr>
        <w:t xml:space="preserve">，</w:t>
      </w:r>
      <w:r>
        <w:rPr>
          <w:rFonts w:ascii="Segoe UI" w:hAnsi="Segoe UI" w:eastAsia="Segoe UI" w:cs="Segoe UI"/>
          <w:b w:val="0"/>
          <w:bCs w:val="0"/>
          <w:i w:val="0"/>
          <w:iCs w:val="0"/>
          <w:caps w:val="0"/>
          <w:color w:val="auto"/>
          <w:spacing w:val="0"/>
          <w:sz w:val="24"/>
          <w:szCs w:val="24"/>
          <w:highlight w:val="none"/>
          <w:shd w:val="clear" w:color="auto" w:fill="ffffff"/>
        </w:rPr>
        <w:t xml:space="preserve">支付时应扣除合同期内养护违约赔偿款。</w:t>
      </w:r>
      <w:r>
        <w:rPr>
          <w:color w:val="auto"/>
          <w:highlight w:val="none"/>
        </w:rPr>
      </w:r>
      <w:r/>
    </w:p>
    <w:p>
      <w:pPr>
        <w:pStyle w:val="873"/>
        <w:numPr>
          <w:ilvl w:val="0"/>
          <w:numId w:val="0"/>
        </w:numPr>
        <w:ind w:left="0" w:right="0" w:firstLine="0"/>
        <w:jc w:val="left"/>
        <w:keepLines w:val="0"/>
        <w:keepNext w:val="0"/>
        <w:spacing w:before="0" w:beforeAutospacing="0" w:after="0" w:afterAutospacing="0" w:line="0" w:lineRule="atLeast"/>
        <w:widowControl/>
        <w:rPr>
          <w:rFonts w:hint="eastAsia" w:ascii="宋体" w:hAnsi="宋体" w:eastAsia="宋体" w:cs="Courier New"/>
          <w:b w:val="0"/>
          <w:bCs w:val="0"/>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Courier New"/>
          <w:b w:val="0"/>
          <w:bCs w:val="0"/>
          <w:color w:val="auto"/>
          <w:sz w:val="24"/>
          <w:szCs w:val="24"/>
          <w:highlight w:val="none"/>
          <w:lang w:val="en-US" w:eastAsia="zh-CN"/>
        </w:rPr>
        <w:t xml:space="preserve">8.1.4</w:t>
      </w:r>
      <w:r>
        <w:rPr>
          <w:rFonts w:hint="eastAsia" w:ascii="宋体" w:hAnsi="宋体" w:cs="Courier New"/>
          <w:b w:val="0"/>
          <w:bCs w:val="0"/>
          <w:color w:val="auto"/>
          <w:sz w:val="24"/>
          <w:szCs w:val="24"/>
          <w:highlight w:val="none"/>
        </w:rPr>
        <w:t xml:space="preserve">月</w:t>
      </w:r>
      <w:r>
        <w:rPr>
          <w:rFonts w:hint="eastAsia" w:ascii="宋体" w:hAnsi="宋体" w:cs="Courier New"/>
          <w:b w:val="0"/>
          <w:bCs w:val="0"/>
          <w:color w:val="auto"/>
          <w:sz w:val="24"/>
          <w:szCs w:val="24"/>
          <w:highlight w:val="none"/>
          <w:lang w:val="en-US" w:eastAsia="zh-CN"/>
        </w:rPr>
        <w:t xml:space="preserve">养护费</w:t>
      </w:r>
      <w:r>
        <w:rPr>
          <w:rFonts w:hint="eastAsia" w:ascii="宋体" w:hAnsi="宋体" w:cs="Courier New"/>
          <w:b w:val="0"/>
          <w:bCs w:val="0"/>
          <w:color w:val="auto"/>
          <w:sz w:val="24"/>
          <w:szCs w:val="24"/>
          <w:highlight w:val="none"/>
        </w:rPr>
        <w:t xml:space="preserve"> =</w:t>
      </w:r>
      <w:r>
        <w:rPr>
          <w:rFonts w:hint="eastAsia" w:ascii="宋体" w:hAnsi="宋体" w:cs="Courier New"/>
          <w:b w:val="0"/>
          <w:bCs w:val="0"/>
          <w:color w:val="auto"/>
          <w:sz w:val="24"/>
          <w:szCs w:val="24"/>
          <w:highlight w:val="none"/>
          <w:lang w:val="en-US" w:eastAsia="zh-CN"/>
        </w:rPr>
        <w:t xml:space="preserve">[</w:t>
      </w:r>
      <w:r>
        <w:rPr>
          <w:rFonts w:hint="eastAsia" w:ascii="宋体" w:hAnsi="宋体" w:eastAsia="宋体" w:cs="Courier New"/>
          <w:b w:val="0"/>
          <w:bCs w:val="0"/>
          <w:i w:val="0"/>
          <w:strike w:val="0"/>
          <w:color w:val="auto"/>
          <w:spacing w:val="0"/>
          <w:sz w:val="24"/>
          <w:szCs w:val="24"/>
          <w:highlight w:val="none"/>
          <w:u w:val="none"/>
          <w:lang w:val="en-US" w:eastAsia="zh-CN"/>
        </w:rPr>
        <w:t xml:space="preserve">当月实际养护面积×该区域既定养护标准</w:t>
      </w:r>
      <w:r>
        <w:rPr>
          <w:rFonts w:hint="eastAsia" w:ascii="宋体" w:hAnsi="宋体" w:cs="Courier New"/>
          <w:b w:val="0"/>
          <w:bCs w:val="0"/>
          <w:i w:val="0"/>
          <w:strike w:val="0"/>
          <w:color w:val="auto"/>
          <w:spacing w:val="0"/>
          <w:sz w:val="24"/>
          <w:szCs w:val="24"/>
          <w:highlight w:val="none"/>
          <w:u w:val="none"/>
          <w:lang w:val="en-US" w:eastAsia="zh-CN"/>
        </w:rPr>
        <w:t xml:space="preserve">合同</w:t>
      </w:r>
      <w:r>
        <w:rPr>
          <w:rFonts w:hint="eastAsia" w:ascii="宋体" w:hAnsi="宋体" w:eastAsia="宋体" w:cs="Courier New"/>
          <w:b w:val="0"/>
          <w:bCs w:val="0"/>
          <w:i w:val="0"/>
          <w:strike w:val="0"/>
          <w:color w:val="auto"/>
          <w:spacing w:val="0"/>
          <w:sz w:val="24"/>
          <w:szCs w:val="24"/>
          <w:highlight w:val="none"/>
          <w:u w:val="none"/>
          <w:lang w:val="en-US" w:eastAsia="zh-CN"/>
        </w:rPr>
        <w:t xml:space="preserve">单价</w:t>
      </w:r>
      <w:r>
        <w:rPr>
          <w:rFonts w:hint="eastAsia" w:ascii="宋体" w:hAnsi="宋体" w:cs="Courier New"/>
          <w:b w:val="0"/>
          <w:bCs w:val="0"/>
          <w:i w:val="0"/>
          <w:strike w:val="0"/>
          <w:color w:val="auto"/>
          <w:spacing w:val="0"/>
          <w:sz w:val="24"/>
          <w:szCs w:val="24"/>
          <w:highlight w:val="none"/>
          <w:u w:val="none"/>
          <w:lang w:val="en-US" w:eastAsia="zh-CN"/>
        </w:rPr>
        <w:t xml:space="preserve">+当月行道树数量*该行道树</w:t>
      </w:r>
      <w:r>
        <w:rPr>
          <w:rFonts w:hint="eastAsia" w:ascii="宋体" w:hAnsi="宋体" w:eastAsia="宋体" w:cs="Courier New"/>
          <w:b w:val="0"/>
          <w:bCs w:val="0"/>
          <w:i w:val="0"/>
          <w:strike w:val="0"/>
          <w:color w:val="auto"/>
          <w:spacing w:val="0"/>
          <w:sz w:val="24"/>
          <w:szCs w:val="24"/>
          <w:highlight w:val="none"/>
          <w:u w:val="none"/>
          <w:lang w:val="en-US" w:eastAsia="zh-CN"/>
        </w:rPr>
        <w:t xml:space="preserve">既定养护标准</w:t>
      </w:r>
      <w:r>
        <w:rPr>
          <w:rFonts w:hint="eastAsia" w:ascii="宋体" w:hAnsi="宋体" w:cs="Courier New"/>
          <w:b w:val="0"/>
          <w:bCs w:val="0"/>
          <w:i w:val="0"/>
          <w:strike w:val="0"/>
          <w:color w:val="auto"/>
          <w:spacing w:val="0"/>
          <w:sz w:val="24"/>
          <w:szCs w:val="24"/>
          <w:highlight w:val="none"/>
          <w:u w:val="none"/>
          <w:lang w:val="en-US" w:eastAsia="zh-CN"/>
        </w:rPr>
        <w:t xml:space="preserve">合同</w:t>
      </w:r>
      <w:r>
        <w:rPr>
          <w:rFonts w:hint="eastAsia" w:ascii="宋体" w:hAnsi="宋体" w:eastAsia="宋体" w:cs="Courier New"/>
          <w:b w:val="0"/>
          <w:bCs w:val="0"/>
          <w:i w:val="0"/>
          <w:strike w:val="0"/>
          <w:color w:val="auto"/>
          <w:spacing w:val="0"/>
          <w:sz w:val="24"/>
          <w:szCs w:val="24"/>
          <w:highlight w:val="none"/>
          <w:u w:val="none"/>
          <w:lang w:val="en-US" w:eastAsia="zh-CN"/>
        </w:rPr>
        <w:t xml:space="preserve">单价 + 草花</w:t>
      </w:r>
      <w:r>
        <w:rPr>
          <w:rFonts w:hint="eastAsia" w:ascii="宋体" w:hAnsi="宋体" w:cs="Courier New"/>
          <w:b w:val="0"/>
          <w:bCs w:val="0"/>
          <w:i w:val="0"/>
          <w:strike w:val="0"/>
          <w:color w:val="auto"/>
          <w:spacing w:val="0"/>
          <w:sz w:val="24"/>
          <w:szCs w:val="24"/>
          <w:highlight w:val="none"/>
          <w:u w:val="none"/>
          <w:lang w:val="en-US" w:eastAsia="zh-CN"/>
        </w:rPr>
        <w:t xml:space="preserve">整体</w:t>
      </w:r>
      <w:r>
        <w:rPr>
          <w:rFonts w:hint="eastAsia" w:ascii="宋体" w:hAnsi="宋体" w:eastAsia="宋体" w:cs="Courier New"/>
          <w:b w:val="0"/>
          <w:bCs w:val="0"/>
          <w:i w:val="0"/>
          <w:strike w:val="0"/>
          <w:color w:val="auto"/>
          <w:spacing w:val="0"/>
          <w:sz w:val="24"/>
          <w:szCs w:val="24"/>
          <w:highlight w:val="none"/>
          <w:u w:val="none"/>
          <w:lang w:val="en-US" w:eastAsia="zh-CN"/>
        </w:rPr>
        <w:t xml:space="preserve">更换面积×草花更换</w:t>
      </w:r>
      <w:r>
        <w:rPr>
          <w:rFonts w:hint="eastAsia" w:ascii="宋体" w:hAnsi="宋体" w:cs="Courier New"/>
          <w:b w:val="0"/>
          <w:bCs w:val="0"/>
          <w:i w:val="0"/>
          <w:strike w:val="0"/>
          <w:color w:val="auto"/>
          <w:spacing w:val="0"/>
          <w:sz w:val="24"/>
          <w:szCs w:val="24"/>
          <w:highlight w:val="none"/>
          <w:u w:val="none"/>
          <w:lang w:val="en-US" w:eastAsia="zh-CN"/>
        </w:rPr>
        <w:t xml:space="preserve">合同</w:t>
      </w:r>
      <w:r>
        <w:rPr>
          <w:rFonts w:hint="eastAsia" w:ascii="宋体" w:hAnsi="宋体" w:eastAsia="宋体" w:cs="Courier New"/>
          <w:b w:val="0"/>
          <w:bCs w:val="0"/>
          <w:i w:val="0"/>
          <w:strike w:val="0"/>
          <w:color w:val="auto"/>
          <w:spacing w:val="0"/>
          <w:sz w:val="24"/>
          <w:szCs w:val="24"/>
          <w:highlight w:val="none"/>
          <w:u w:val="none"/>
          <w:lang w:val="en-US" w:eastAsia="zh-CN"/>
        </w:rPr>
        <w:t xml:space="preserve">单价）]（</w:t>
      </w:r>
      <w:r>
        <w:rPr>
          <w:rFonts w:hint="eastAsia" w:ascii="宋体" w:hAnsi="宋体" w:eastAsia="宋体" w:cs="Courier New"/>
          <w:b w:val="0"/>
          <w:bCs w:val="0"/>
          <w:color w:val="auto"/>
          <w:sz w:val="24"/>
          <w:szCs w:val="24"/>
          <w:highlight w:val="none"/>
        </w:rPr>
        <w:t xml:space="preserve">当月未实施草花整体更换作业的，草花更换对应计费项金额按</w:t>
      </w:r>
      <w:r>
        <w:rPr>
          <w:rFonts w:hint="eastAsia" w:ascii="宋体" w:hAnsi="宋体" w:eastAsia="宋体" w:cs="Courier New"/>
          <w:b w:val="0"/>
          <w:bCs w:val="0"/>
          <w:color w:val="auto"/>
          <w:sz w:val="24"/>
          <w:szCs w:val="24"/>
          <w:highlight w:val="none"/>
          <w:lang w:eastAsia="zh-CN"/>
        </w:rPr>
        <w:t xml:space="preserve">零</w:t>
      </w:r>
      <w:r>
        <w:rPr>
          <w:rFonts w:hint="eastAsia" w:ascii="宋体" w:hAnsi="宋体" w:eastAsia="宋体" w:cs="Courier New"/>
          <w:b w:val="0"/>
          <w:bCs w:val="0"/>
          <w:color w:val="auto"/>
          <w:sz w:val="24"/>
          <w:szCs w:val="24"/>
          <w:highlight w:val="none"/>
        </w:rPr>
        <w:t xml:space="preserve">计取。</w:t>
      </w:r>
      <w:r>
        <w:rPr>
          <w:rFonts w:hint="eastAsia" w:ascii="宋体" w:hAnsi="宋体" w:eastAsia="宋体" w:cs="Courier New"/>
          <w:b w:val="0"/>
          <w:bCs w:val="0"/>
          <w:i w:val="0"/>
          <w:strike w:val="0"/>
          <w:color w:val="auto"/>
          <w:spacing w:val="0"/>
          <w:sz w:val="24"/>
          <w:szCs w:val="24"/>
          <w:highlight w:val="none"/>
          <w:u w:val="none"/>
          <w:lang w:val="en-US" w:eastAsia="zh-CN"/>
        </w:rPr>
        <w:t xml:space="preserve">）</w:t>
      </w:r>
      <w:r>
        <w:rPr>
          <w:color w:val="auto"/>
          <w:highlight w:val="none"/>
        </w:rPr>
      </w:r>
      <w:r/>
    </w:p>
    <w:p>
      <w:pPr>
        <w:pStyle w:val="873"/>
        <w:numPr>
          <w:ilvl w:val="0"/>
          <w:numId w:val="0"/>
        </w:numPr>
        <w:ind w:left="0" w:right="0" w:firstLine="0"/>
        <w:jc w:val="left"/>
        <w:keepLines w:val="0"/>
        <w:keepNext w:val="0"/>
        <w:spacing w:before="0" w:beforeAutospacing="0" w:after="0" w:afterAutospacing="0" w:line="0" w:lineRule="atLeast"/>
        <w:widowControl/>
        <w:rPr>
          <w:rFonts w:hint="eastAsia" w:ascii="Times New Roman" w:hAnsi="Times New Roman" w:eastAsia="宋体" w:cs="Times New Roman"/>
          <w:b w:val="0"/>
          <w:bCs w:val="0"/>
          <w:i w:val="0"/>
          <w:iCs w:val="0"/>
          <w:caps w:val="0"/>
          <w:color w:val="auto"/>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ascii="Times New Roman" w:hAnsi="Times New Roman" w:cs="Times New Roman"/>
          <w:b w:val="0"/>
          <w:bCs w:val="0"/>
          <w:color w:val="auto"/>
          <w:sz w:val="24"/>
          <w:szCs w:val="24"/>
          <w:highlight w:val="none"/>
          <w:lang w:val="en-US" w:eastAsia="zh-CN" w:bidi="ar"/>
        </w:rPr>
        <w:t xml:space="preserve">8.1.5</w:t>
      </w:r>
      <w:r>
        <w:rPr>
          <w:rFonts w:ascii="Times New Roman" w:hAnsi="Times New Roman" w:eastAsia="Segoe UI" w:cs="Times New Roman"/>
          <w:b w:val="0"/>
          <w:bCs w:val="0"/>
          <w:i w:val="0"/>
          <w:iCs w:val="0"/>
          <w:caps w:val="0"/>
          <w:color w:val="auto"/>
          <w:spacing w:val="0"/>
          <w:sz w:val="24"/>
          <w:szCs w:val="24"/>
          <w:highlight w:val="none"/>
          <w:shd w:val="clear" w:color="auto" w:fill="ffffff"/>
        </w:rPr>
        <w:t xml:space="preserve">季度进度款金额为当季各月“进度款”之和</w:t>
      </w:r>
      <w:r>
        <w:rPr>
          <w:rFonts w:hint="eastAsia" w:ascii="Times New Roman" w:hAnsi="Times New Roman" w:eastAsia="宋体" w:cs="Times New Roman"/>
          <w:b w:val="0"/>
          <w:bCs w:val="0"/>
          <w:i w:val="0"/>
          <w:iCs w:val="0"/>
          <w:caps w:val="0"/>
          <w:color w:val="auto"/>
          <w:spacing w:val="0"/>
          <w:sz w:val="24"/>
          <w:szCs w:val="24"/>
          <w:highlight w:val="none"/>
          <w:shd w:val="clear" w:color="auto" w:fill="ffffff"/>
          <w:lang w:val="en-US" w:eastAsia="zh-CN"/>
        </w:rPr>
        <w:t xml:space="preserve">。</w:t>
      </w:r>
      <w:r>
        <w:rPr>
          <w:rFonts w:ascii="Times New Roman" w:hAnsi="Times New Roman" w:eastAsia="Segoe UI" w:cs="Times New Roman"/>
          <w:b w:val="0"/>
          <w:bCs w:val="0"/>
          <w:i w:val="0"/>
          <w:iCs w:val="0"/>
          <w:caps w:val="0"/>
          <w:color w:val="auto"/>
          <w:spacing w:val="0"/>
          <w:sz w:val="24"/>
          <w:szCs w:val="24"/>
          <w:highlight w:val="none"/>
          <w:shd w:val="clear" w:color="auto" w:fill="ffffff"/>
        </w:rPr>
        <w:t xml:space="preserve">90分及以上</w:t>
      </w:r>
      <w:r>
        <w:rPr>
          <w:rFonts w:hint="eastAsia" w:ascii="Segoe UI" w:hAnsi="Segoe UI" w:eastAsia="宋体" w:cs="Segoe UI"/>
          <w:b w:val="0"/>
          <w:bCs w:val="0"/>
          <w:i w:val="0"/>
          <w:iCs w:val="0"/>
          <w:caps w:val="0"/>
          <w:color w:val="auto"/>
          <w:spacing w:val="0"/>
          <w:sz w:val="24"/>
          <w:szCs w:val="24"/>
          <w:highlight w:val="none"/>
          <w:shd w:val="clear" w:color="auto" w:fill="ffffff"/>
          <w:lang w:eastAsia="zh-CN"/>
        </w:rPr>
        <w:t xml:space="preserve">月进度款</w:t>
      </w:r>
      <w:r>
        <w:rPr>
          <w:rFonts w:hint="eastAsia" w:ascii="Times New Roman" w:hAnsi="Times New Roman" w:eastAsia="宋体" w:cs="Times New Roman"/>
          <w:b w:val="0"/>
          <w:bCs w:val="0"/>
          <w:i w:val="0"/>
          <w:iCs w:val="0"/>
          <w:caps w:val="0"/>
          <w:color w:val="auto"/>
          <w:spacing w:val="0"/>
          <w:sz w:val="24"/>
          <w:szCs w:val="24"/>
          <w:highlight w:val="none"/>
          <w:shd w:val="clear" w:color="auto" w:fill="ffffff"/>
          <w:lang w:eastAsia="zh-CN"/>
        </w:rPr>
        <w:t xml:space="preserve">全额计取；</w:t>
      </w:r>
      <w:r>
        <w:rPr>
          <w:rFonts w:ascii="Times New Roman" w:hAnsi="Times New Roman" w:eastAsia="Segoe UI" w:cs="Times New Roman"/>
          <w:b w:val="0"/>
          <w:bCs w:val="0"/>
          <w:i w:val="0"/>
          <w:iCs w:val="0"/>
          <w:caps w:val="0"/>
          <w:color w:val="auto"/>
          <w:spacing w:val="0"/>
          <w:sz w:val="24"/>
          <w:szCs w:val="24"/>
          <w:highlight w:val="none"/>
          <w:shd w:val="clear" w:color="auto" w:fill="ffffff"/>
        </w:rPr>
        <w:t xml:space="preserve">90</w:t>
      </w:r>
      <w:r>
        <w:rPr>
          <w:rFonts w:hint="eastAsia" w:ascii="Times New Roman" w:hAnsi="Times New Roman" w:eastAsia="宋体" w:cs="Times New Roman"/>
          <w:b w:val="0"/>
          <w:bCs w:val="0"/>
          <w:i w:val="0"/>
          <w:iCs w:val="0"/>
          <w:caps w:val="0"/>
          <w:color w:val="auto"/>
          <w:spacing w:val="0"/>
          <w:sz w:val="24"/>
          <w:szCs w:val="24"/>
          <w:highlight w:val="none"/>
          <w:shd w:val="clear" w:color="auto" w:fill="ffffff"/>
          <w:lang w:val="en-US" w:eastAsia="zh-CN"/>
        </w:rPr>
        <w:t xml:space="preserve">-80（含）</w:t>
      </w:r>
      <w:r>
        <w:rPr>
          <w:rFonts w:ascii="Times New Roman" w:hAnsi="Times New Roman" w:eastAsia="Segoe UI" w:cs="Times New Roman"/>
          <w:b w:val="0"/>
          <w:bCs w:val="0"/>
          <w:i w:val="0"/>
          <w:iCs w:val="0"/>
          <w:caps w:val="0"/>
          <w:color w:val="auto"/>
          <w:spacing w:val="0"/>
          <w:sz w:val="24"/>
          <w:szCs w:val="24"/>
          <w:highlight w:val="none"/>
          <w:shd w:val="clear" w:color="auto" w:fill="ffffff"/>
        </w:rPr>
        <w:t xml:space="preserve">分每低1分扣5000元</w:t>
      </w:r>
      <w:r>
        <w:rPr>
          <w:rFonts w:hint="eastAsia" w:ascii="Times New Roman" w:hAnsi="Times New Roman" w:eastAsia="宋体" w:cs="Times New Roman"/>
          <w:b w:val="0"/>
          <w:bCs w:val="0"/>
          <w:i w:val="0"/>
          <w:iCs w:val="0"/>
          <w:caps w:val="0"/>
          <w:color w:val="auto"/>
          <w:spacing w:val="0"/>
          <w:sz w:val="24"/>
          <w:szCs w:val="24"/>
          <w:highlight w:val="none"/>
          <w:shd w:val="clear" w:color="auto" w:fill="ffffff"/>
          <w:lang w:eastAsia="zh-CN"/>
        </w:rPr>
        <w:t xml:space="preserve">；</w:t>
      </w:r>
      <w:r>
        <w:rPr>
          <w:rFonts w:ascii="Times New Roman" w:hAnsi="Times New Roman" w:eastAsia="Segoe UI" w:cs="Times New Roman"/>
          <w:b w:val="0"/>
          <w:bCs w:val="0"/>
          <w:i w:val="0"/>
          <w:iCs w:val="0"/>
          <w:caps w:val="0"/>
          <w:color w:val="auto"/>
          <w:spacing w:val="0"/>
          <w:sz w:val="24"/>
          <w:szCs w:val="24"/>
          <w:highlight w:val="none"/>
          <w:shd w:val="clear" w:color="auto" w:fill="ffffff"/>
        </w:rPr>
        <w:t xml:space="preserve">80</w:t>
      </w:r>
      <w:r>
        <w:rPr>
          <w:rFonts w:hint="eastAsia" w:ascii="Times New Roman" w:hAnsi="Times New Roman" w:eastAsia="宋体" w:cs="Times New Roman"/>
          <w:b w:val="0"/>
          <w:bCs w:val="0"/>
          <w:i w:val="0"/>
          <w:iCs w:val="0"/>
          <w:caps w:val="0"/>
          <w:color w:val="auto"/>
          <w:spacing w:val="0"/>
          <w:sz w:val="24"/>
          <w:szCs w:val="24"/>
          <w:highlight w:val="none"/>
          <w:shd w:val="clear" w:color="auto" w:fill="ffffff"/>
          <w:lang w:val="en-US" w:eastAsia="zh-CN"/>
        </w:rPr>
        <w:t xml:space="preserve">-75</w:t>
      </w:r>
      <w:r>
        <w:rPr>
          <w:rFonts w:ascii="Times New Roman" w:hAnsi="Times New Roman" w:eastAsia="Segoe UI" w:cs="Times New Roman"/>
          <w:b w:val="0"/>
          <w:bCs w:val="0"/>
          <w:i w:val="0"/>
          <w:iCs w:val="0"/>
          <w:caps w:val="0"/>
          <w:color w:val="auto"/>
          <w:spacing w:val="0"/>
          <w:sz w:val="24"/>
          <w:szCs w:val="24"/>
          <w:highlight w:val="none"/>
          <w:shd w:val="clear" w:color="auto" w:fill="ffffff"/>
        </w:rPr>
        <w:t xml:space="preserve">(含)分扣50%的月</w:t>
      </w:r>
      <w:r>
        <w:rPr>
          <w:rFonts w:hint="eastAsia" w:ascii="Times New Roman" w:hAnsi="Times New Roman" w:eastAsia="宋体" w:cs="Times New Roman"/>
          <w:b w:val="0"/>
          <w:bCs w:val="0"/>
          <w:i w:val="0"/>
          <w:iCs w:val="0"/>
          <w:caps w:val="0"/>
          <w:color w:val="auto"/>
          <w:spacing w:val="0"/>
          <w:sz w:val="24"/>
          <w:szCs w:val="24"/>
          <w:highlight w:val="none"/>
          <w:shd w:val="clear" w:color="auto" w:fill="ffffff"/>
          <w:lang w:eastAsia="zh-CN"/>
        </w:rPr>
        <w:t xml:space="preserve">进</w:t>
      </w:r>
      <w:r>
        <w:rPr>
          <w:rFonts w:ascii="Times New Roman" w:hAnsi="Times New Roman" w:eastAsia="Segoe UI" w:cs="Times New Roman"/>
          <w:b w:val="0"/>
          <w:bCs w:val="0"/>
          <w:i w:val="0"/>
          <w:iCs w:val="0"/>
          <w:caps w:val="0"/>
          <w:color w:val="auto"/>
          <w:spacing w:val="0"/>
          <w:sz w:val="24"/>
          <w:szCs w:val="24"/>
          <w:highlight w:val="none"/>
          <w:shd w:val="clear" w:color="auto" w:fill="ffffff"/>
        </w:rPr>
        <w:t xml:space="preserve">度款</w:t>
      </w:r>
      <w:r>
        <w:rPr>
          <w:rFonts w:hint="eastAsia" w:ascii="Times New Roman" w:hAnsi="Times New Roman" w:eastAsia="宋体" w:cs="Times New Roman"/>
          <w:b w:val="0"/>
          <w:bCs w:val="0"/>
          <w:i w:val="0"/>
          <w:iCs w:val="0"/>
          <w:caps w:val="0"/>
          <w:color w:val="auto"/>
          <w:spacing w:val="0"/>
          <w:sz w:val="24"/>
          <w:szCs w:val="24"/>
          <w:highlight w:val="none"/>
          <w:shd w:val="clear" w:color="auto" w:fill="ffffff"/>
          <w:lang w:eastAsia="zh-CN"/>
        </w:rPr>
        <w:t xml:space="preserve">；</w:t>
      </w:r>
      <w:r>
        <w:rPr>
          <w:rFonts w:ascii="Times New Roman" w:hAnsi="Times New Roman" w:eastAsia="Segoe UI" w:cs="Times New Roman"/>
          <w:b w:val="0"/>
          <w:bCs w:val="0"/>
          <w:i w:val="0"/>
          <w:iCs w:val="0"/>
          <w:caps w:val="0"/>
          <w:color w:val="auto"/>
          <w:spacing w:val="0"/>
          <w:sz w:val="24"/>
          <w:szCs w:val="24"/>
          <w:highlight w:val="none"/>
          <w:shd w:val="clear" w:color="auto" w:fill="ffffff"/>
        </w:rPr>
        <w:t xml:space="preserve">考核分低于75分或发生一般安全事故的，甲方有权解除合同，并追究相应经济及法律责任</w:t>
      </w:r>
      <w:r>
        <w:rPr>
          <w:rFonts w:hint="eastAsia" w:ascii="Times New Roman" w:hAnsi="Times New Roman" w:eastAsia="宋体" w:cs="Times New Roman"/>
          <w:b w:val="0"/>
          <w:bCs w:val="0"/>
          <w:i w:val="0"/>
          <w:iCs w:val="0"/>
          <w:caps w:val="0"/>
          <w:color w:val="auto"/>
          <w:spacing w:val="0"/>
          <w:sz w:val="24"/>
          <w:szCs w:val="24"/>
          <w:highlight w:val="none"/>
          <w:shd w:val="clear" w:color="auto" w:fill="ffffff"/>
          <w:lang w:eastAsia="zh-CN"/>
        </w:rPr>
        <w:t xml:space="preserve">。</w:t>
      </w:r>
      <w:r>
        <w:rPr>
          <w:color w:val="auto"/>
          <w:highlight w:val="none"/>
        </w:rPr>
      </w:r>
      <w:r/>
    </w:p>
    <w:p>
      <w:pPr>
        <w:pStyle w:val="873"/>
        <w:numPr>
          <w:ilvl w:val="0"/>
          <w:numId w:val="0"/>
        </w:numPr>
        <w:ind w:firstLine="0"/>
        <w:jc w:val="left"/>
        <w:spacing w:line="0" w:lineRule="atLeast"/>
        <w:widowControl/>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cs="Times New Roman"/>
          <w:b w:val="0"/>
          <w:bCs w:val="0"/>
          <w:color w:val="auto"/>
          <w:sz w:val="24"/>
          <w:szCs w:val="24"/>
          <w:highlight w:val="none"/>
          <w:lang w:val="en-US" w:eastAsia="zh-CN"/>
        </w:rPr>
        <w:t xml:space="preserve">8.1.6</w:t>
      </w:r>
      <w:r>
        <w:rPr>
          <w:rFonts w:hint="eastAsia" w:ascii="Times New Roman" w:hAnsi="Times New Roman" w:cs="Times New Roman"/>
          <w:b w:val="0"/>
          <w:bCs w:val="0"/>
          <w:color w:val="auto"/>
          <w:sz w:val="24"/>
          <w:szCs w:val="24"/>
          <w:highlight w:val="none"/>
          <w:lang w:val="en-US" w:eastAsia="zh-CN"/>
        </w:rPr>
        <w:t xml:space="preserve">剩余款项按</w:t>
      </w:r>
      <w:r>
        <w:rPr>
          <w:rFonts w:ascii="Times New Roman" w:hAnsi="Times New Roman" w:cs="Times New Roman"/>
          <w:b w:val="0"/>
          <w:bCs w:val="0"/>
          <w:i w:val="0"/>
          <w:strike w:val="0"/>
          <w:color w:val="auto"/>
          <w:spacing w:val="0"/>
          <w:sz w:val="24"/>
          <w:szCs w:val="24"/>
          <w:highlight w:val="none"/>
          <w:u w:val="none"/>
          <w:lang w:val="en-US" w:eastAsia="zh-CN"/>
        </w:rPr>
        <w:t xml:space="preserve">年</w:t>
      </w:r>
      <w:r>
        <w:rPr>
          <w:rFonts w:ascii="Times New Roman" w:hAnsi="Times New Roman" w:eastAsia="宋体" w:cs="Times New Roman"/>
          <w:i w:val="0"/>
          <w:strike w:val="0"/>
          <w:color w:val="auto"/>
          <w:spacing w:val="0"/>
          <w:sz w:val="24"/>
          <w:szCs w:val="24"/>
          <w:highlight w:val="none"/>
          <w:u w:val="none"/>
          <w:lang w:val="en-US" w:eastAsia="zh-CN"/>
        </w:rPr>
        <w:t xml:space="preserve">度考核得分</w:t>
      </w:r>
      <w:r>
        <w:rPr>
          <w:rFonts w:hint="eastAsia" w:ascii="Times New Roman" w:hAnsi="Times New Roman" w:eastAsia="宋体" w:cs="Times New Roman"/>
          <w:i w:val="0"/>
          <w:strike w:val="0"/>
          <w:color w:val="auto"/>
          <w:spacing w:val="0"/>
          <w:sz w:val="24"/>
          <w:szCs w:val="24"/>
          <w:highlight w:val="none"/>
          <w:u w:val="none"/>
          <w:lang w:val="en-US" w:eastAsia="zh-CN"/>
        </w:rPr>
        <w:t xml:space="preserve">计算，</w:t>
      </w:r>
      <w:r>
        <w:rPr>
          <w:rFonts w:ascii="Times New Roman" w:hAnsi="Times New Roman" w:eastAsia="Segoe UI" w:cs="Times New Roman"/>
          <w:b w:val="0"/>
          <w:bCs w:val="0"/>
          <w:i w:val="0"/>
          <w:iCs w:val="0"/>
          <w:caps w:val="0"/>
          <w:color w:val="auto"/>
          <w:spacing w:val="0"/>
          <w:sz w:val="24"/>
          <w:szCs w:val="24"/>
          <w:highlight w:val="none"/>
          <w:shd w:val="clear" w:color="auto" w:fill="ffffff"/>
        </w:rPr>
        <w:t xml:space="preserve">90分及以上</w:t>
      </w:r>
      <w:r>
        <w:rPr>
          <w:rFonts w:hint="eastAsia" w:ascii="Times New Roman" w:hAnsi="Times New Roman" w:eastAsia="宋体" w:cs="Times New Roman"/>
          <w:b w:val="0"/>
          <w:bCs w:val="0"/>
          <w:i w:val="0"/>
          <w:iCs w:val="0"/>
          <w:caps w:val="0"/>
          <w:color w:val="auto"/>
          <w:spacing w:val="0"/>
          <w:sz w:val="24"/>
          <w:szCs w:val="24"/>
          <w:highlight w:val="none"/>
          <w:shd w:val="clear" w:color="auto" w:fill="ffffff"/>
          <w:lang w:eastAsia="zh-CN"/>
        </w:rPr>
        <w:t xml:space="preserve">全额计取；</w:t>
      </w:r>
      <w:r>
        <w:rPr>
          <w:rFonts w:ascii="Times New Roman" w:hAnsi="Times New Roman" w:eastAsia="Segoe UI" w:cs="Times New Roman"/>
          <w:b w:val="0"/>
          <w:bCs w:val="0"/>
          <w:i w:val="0"/>
          <w:iCs w:val="0"/>
          <w:caps w:val="0"/>
          <w:color w:val="auto"/>
          <w:spacing w:val="0"/>
          <w:sz w:val="24"/>
          <w:szCs w:val="24"/>
          <w:highlight w:val="none"/>
          <w:shd w:val="clear" w:color="auto" w:fill="ffffff"/>
        </w:rPr>
        <w:t xml:space="preserve">90</w:t>
      </w:r>
      <w:r>
        <w:rPr>
          <w:rFonts w:hint="eastAsia" w:ascii="Times New Roman" w:hAnsi="Times New Roman" w:eastAsia="宋体" w:cs="Times New Roman"/>
          <w:b w:val="0"/>
          <w:bCs w:val="0"/>
          <w:i w:val="0"/>
          <w:iCs w:val="0"/>
          <w:caps w:val="0"/>
          <w:color w:val="auto"/>
          <w:spacing w:val="0"/>
          <w:sz w:val="24"/>
          <w:szCs w:val="24"/>
          <w:highlight w:val="none"/>
          <w:shd w:val="clear" w:color="auto" w:fill="ffffff"/>
          <w:lang w:val="en-US" w:eastAsia="zh-CN"/>
        </w:rPr>
        <w:t xml:space="preserve">-80（含）</w:t>
      </w:r>
      <w:r>
        <w:rPr>
          <w:rFonts w:ascii="Times New Roman" w:hAnsi="Times New Roman" w:eastAsia="Segoe UI" w:cs="Times New Roman"/>
          <w:b w:val="0"/>
          <w:bCs w:val="0"/>
          <w:i w:val="0"/>
          <w:iCs w:val="0"/>
          <w:caps w:val="0"/>
          <w:color w:val="auto"/>
          <w:spacing w:val="0"/>
          <w:sz w:val="24"/>
          <w:szCs w:val="24"/>
          <w:highlight w:val="none"/>
          <w:shd w:val="clear" w:color="auto" w:fill="ffffff"/>
        </w:rPr>
        <w:t xml:space="preserve">分每低1分扣5000元</w:t>
      </w:r>
      <w:r>
        <w:rPr>
          <w:rFonts w:hint="eastAsia" w:ascii="Times New Roman" w:hAnsi="Times New Roman" w:eastAsia="宋体" w:cs="Times New Roman"/>
          <w:b w:val="0"/>
          <w:bCs w:val="0"/>
          <w:i w:val="0"/>
          <w:iCs w:val="0"/>
          <w:caps w:val="0"/>
          <w:color w:val="auto"/>
          <w:spacing w:val="0"/>
          <w:sz w:val="24"/>
          <w:szCs w:val="24"/>
          <w:highlight w:val="none"/>
          <w:shd w:val="clear" w:color="auto" w:fill="ffffff"/>
          <w:lang w:eastAsia="zh-CN"/>
        </w:rPr>
        <w:t xml:space="preserve">；</w:t>
      </w:r>
      <w:r>
        <w:rPr>
          <w:rFonts w:ascii="Times New Roman" w:hAnsi="Times New Roman" w:eastAsia="Segoe UI" w:cs="Times New Roman"/>
          <w:b w:val="0"/>
          <w:bCs w:val="0"/>
          <w:i w:val="0"/>
          <w:iCs w:val="0"/>
          <w:caps w:val="0"/>
          <w:color w:val="auto"/>
          <w:spacing w:val="0"/>
          <w:sz w:val="24"/>
          <w:szCs w:val="24"/>
          <w:highlight w:val="none"/>
          <w:shd w:val="clear" w:color="auto" w:fill="ffffff"/>
        </w:rPr>
        <w:t xml:space="preserve">80</w:t>
      </w:r>
      <w:r>
        <w:rPr>
          <w:rFonts w:hint="eastAsia" w:ascii="Times New Roman" w:hAnsi="Times New Roman" w:eastAsia="宋体" w:cs="Times New Roman"/>
          <w:b w:val="0"/>
          <w:bCs w:val="0"/>
          <w:i w:val="0"/>
          <w:iCs w:val="0"/>
          <w:caps w:val="0"/>
          <w:color w:val="auto"/>
          <w:spacing w:val="0"/>
          <w:sz w:val="24"/>
          <w:szCs w:val="24"/>
          <w:highlight w:val="none"/>
          <w:shd w:val="clear" w:color="auto" w:fill="ffffff"/>
          <w:lang w:val="en-US" w:eastAsia="zh-CN"/>
        </w:rPr>
        <w:t xml:space="preserve">-75</w:t>
      </w:r>
      <w:r>
        <w:rPr>
          <w:rFonts w:ascii="Times New Roman" w:hAnsi="Times New Roman" w:eastAsia="Segoe UI" w:cs="Times New Roman"/>
          <w:b w:val="0"/>
          <w:bCs w:val="0"/>
          <w:i w:val="0"/>
          <w:iCs w:val="0"/>
          <w:caps w:val="0"/>
          <w:color w:val="auto"/>
          <w:spacing w:val="0"/>
          <w:sz w:val="24"/>
          <w:szCs w:val="24"/>
          <w:highlight w:val="none"/>
          <w:shd w:val="clear" w:color="auto" w:fill="ffffff"/>
        </w:rPr>
        <w:t xml:space="preserve">(含)分扣50%</w:t>
      </w:r>
      <w:r>
        <w:rPr>
          <w:rFonts w:hint="eastAsia" w:ascii="Times New Roman" w:hAnsi="Times New Roman" w:eastAsia="宋体" w:cs="Times New Roman"/>
          <w:b w:val="0"/>
          <w:bCs w:val="0"/>
          <w:i w:val="0"/>
          <w:iCs w:val="0"/>
          <w:caps w:val="0"/>
          <w:color w:val="auto"/>
          <w:spacing w:val="0"/>
          <w:sz w:val="24"/>
          <w:szCs w:val="24"/>
          <w:highlight w:val="none"/>
          <w:shd w:val="clear" w:color="auto" w:fill="ffffff"/>
          <w:lang w:eastAsia="zh-CN"/>
        </w:rPr>
        <w:t xml:space="preserve">。</w:t>
      </w:r>
      <w:r>
        <w:rPr>
          <w:color w:val="auto"/>
          <w:highlight w:val="none"/>
        </w:rPr>
      </w:r>
      <w:r/>
    </w:p>
    <w:p>
      <w:pPr>
        <w:pStyle w:val="873"/>
        <w:ind w:firstLine="0"/>
        <w:spacing w:line="0" w:lineRule="atLeast"/>
        <w:rPr>
          <w:rFonts w:hint="eastAsia" w:ascii="Times New Roman" w:hAnsi="Times New Roman" w:eastAsia="宋体" w:cs="Times New Roman"/>
          <w:color w:val="auto"/>
          <w:sz w:val="24"/>
          <w:szCs w:val="24"/>
          <w:highlight w:val="none"/>
        </w:rPr>
      </w:pPr>
      <w:r>
        <w:rPr>
          <w:rFonts w:ascii="Times New Roman" w:hAnsi="Times New Roman" w:cs="Times New Roman"/>
          <w:color w:val="auto"/>
          <w:sz w:val="24"/>
          <w:szCs w:val="24"/>
          <w:highlight w:val="none"/>
        </w:rPr>
        <w:t xml:space="preserve">8.1.</w:t>
      </w:r>
      <w:r>
        <w:rPr>
          <w:rFonts w:ascii="Times New Roman" w:hAnsi="Times New Roman" w:cs="Times New Roman"/>
          <w:color w:val="auto"/>
          <w:sz w:val="24"/>
          <w:szCs w:val="24"/>
          <w:highlight w:val="none"/>
          <w:lang w:val="en-US" w:eastAsia="zh-CN"/>
        </w:rPr>
        <w:t xml:space="preserve">7</w:t>
      </w:r>
      <w:r>
        <w:rPr>
          <w:rFonts w:ascii="Times New Roman" w:hAnsi="Times New Roman" w:cs="Times New Roman"/>
          <w:color w:val="auto"/>
          <w:sz w:val="24"/>
          <w:szCs w:val="24"/>
          <w:highlight w:val="none"/>
        </w:rPr>
        <w:t xml:space="preserve">甲方支付给乙方的进度款，乙方只能用于本项目有关的工资、材料、机械等费用，不得移作他用。甲方有权对乙方进度款的使用进行监督，如进度款用于支付与本项目无关的费用，甲方将立即停止付款</w:t>
      </w:r>
      <w:r>
        <w:rPr>
          <w:rFonts w:hint="eastAsia" w:ascii="Times New Roman" w:hAnsi="Times New Roman" w:cs="Times New Roman"/>
          <w:color w:val="auto"/>
          <w:sz w:val="24"/>
          <w:szCs w:val="24"/>
          <w:highlight w:val="none"/>
          <w:lang w:eastAsia="zh-CN"/>
        </w:rPr>
        <w:t xml:space="preserve">。</w:t>
      </w:r>
      <w:r>
        <w:rPr>
          <w:color w:val="auto"/>
          <w:highlight w:val="none"/>
        </w:rPr>
      </w:r>
      <w:r/>
    </w:p>
    <w:p>
      <w:pPr>
        <w:pStyle w:val="873"/>
        <w:spacing w:line="0" w:lineRule="atLeast"/>
        <w:rPr>
          <w:rFonts w:hint="eastAsia"/>
          <w:color w:val="auto"/>
          <w:highlight w:val="none"/>
        </w:rPr>
      </w:pPr>
      <w:r>
        <w:rPr>
          <w:rFonts w:hint="eastAsia" w:ascii="Times New Roman" w:hAnsi="Times New Roman" w:cs="Times New Roman"/>
          <w:color w:val="auto"/>
          <w:sz w:val="24"/>
          <w:szCs w:val="24"/>
          <w:highlight w:val="none"/>
          <w:lang w:val="en-US" w:eastAsia="zh-CN"/>
        </w:rPr>
        <w:t xml:space="preserve">8.1.8合同付款与管理办法不一致的以合同为准。</w:t>
      </w:r>
      <w:r>
        <w:rPr>
          <w:color w:val="auto"/>
          <w:highlight w:val="none"/>
        </w:rPr>
      </w:r>
      <w:r/>
    </w:p>
    <w:p>
      <w:pPr>
        <w:pStyle w:val="912"/>
        <w:spacing w:line="264" w:lineRule="auto"/>
        <w:rPr>
          <w:rFonts w:hint="eastAsia" w:hAnsi="宋体"/>
          <w:color w:val="auto"/>
          <w:sz w:val="24"/>
          <w:szCs w:val="24"/>
          <w:highlight w:val="none"/>
        </w:rPr>
      </w:pPr>
      <w:r>
        <w:rPr>
          <w:rFonts w:hint="eastAsia" w:hAnsi="宋体"/>
          <w:color w:val="auto"/>
          <w:sz w:val="24"/>
          <w:szCs w:val="24"/>
          <w:highlight w:val="none"/>
        </w:rPr>
        <w:t xml:space="preserve">8.2 根据《保障中小企业款项支付条例》规定，甲方未按合同约定支付款项的，乙方可以向有关部门投诉。</w:t>
      </w:r>
      <w:r>
        <w:rPr>
          <w:color w:val="auto"/>
          <w:highlight w:val="none"/>
        </w:rPr>
      </w:r>
      <w:r/>
    </w:p>
    <w:p>
      <w:pPr>
        <w:pStyle w:val="873"/>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九、税费</w:t>
      </w:r>
      <w:r>
        <w:rPr>
          <w:color w:val="auto"/>
          <w:highlight w:val="none"/>
        </w:rPr>
      </w:r>
      <w:r/>
    </w:p>
    <w:p>
      <w:pPr>
        <w:pStyle w:val="873"/>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9.1 本合同执行中的相关税费均由乙方负担。</w:t>
      </w:r>
      <w:r>
        <w:rPr>
          <w:color w:val="auto"/>
          <w:highlight w:val="none"/>
        </w:rPr>
      </w:r>
      <w:r/>
    </w:p>
    <w:p>
      <w:pPr>
        <w:pStyle w:val="873"/>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十、项目验收</w:t>
      </w:r>
      <w:r>
        <w:rPr>
          <w:color w:val="auto"/>
          <w:highlight w:val="none"/>
        </w:rPr>
      </w:r>
      <w:r/>
    </w:p>
    <w:p>
      <w:pPr>
        <w:pStyle w:val="873"/>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10.1 甲方依法组织履约验收工作。</w:t>
      </w:r>
      <w:r>
        <w:rPr>
          <w:color w:val="auto"/>
          <w:highlight w:val="none"/>
        </w:rPr>
      </w:r>
      <w:r/>
    </w:p>
    <w:p>
      <w:pPr>
        <w:pStyle w:val="873"/>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color w:val="auto"/>
          <w:highlight w:val="none"/>
        </w:rPr>
      </w:r>
      <w:r/>
    </w:p>
    <w:p>
      <w:pPr>
        <w:pStyle w:val="873"/>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10.3 对于实际使用人和甲方分离的项目，甲方邀请实际使用人参与验收。</w:t>
      </w:r>
      <w:r>
        <w:rPr>
          <w:color w:val="auto"/>
          <w:highlight w:val="none"/>
        </w:rPr>
      </w:r>
      <w:r/>
    </w:p>
    <w:p>
      <w:pPr>
        <w:pStyle w:val="873"/>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10.4 如有必要，甲方可邀请参加本项目投标的其他供应商或第三方专业机构及专家参与验收，相关意见将作为验收结论的参考。</w:t>
      </w:r>
      <w:r>
        <w:rPr>
          <w:color w:val="auto"/>
          <w:highlight w:val="none"/>
        </w:rPr>
      </w:r>
      <w:r/>
    </w:p>
    <w:p>
      <w:pPr>
        <w:pStyle w:val="873"/>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rPr>
          <w:color w:val="auto"/>
          <w:highlight w:val="none"/>
        </w:rPr>
      </w:r>
      <w:r/>
    </w:p>
    <w:p>
      <w:pPr>
        <w:pStyle w:val="873"/>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color w:val="auto"/>
          <w:highlight w:val="none"/>
        </w:rPr>
      </w:r>
      <w:r/>
    </w:p>
    <w:p>
      <w:pPr>
        <w:pStyle w:val="873"/>
        <w:spacing w:line="264" w:lineRule="auto"/>
        <w:rPr>
          <w:rFonts w:hint="eastAsia"/>
          <w:color w:val="auto"/>
          <w:highlight w:val="none"/>
        </w:rPr>
      </w:pPr>
      <w:r>
        <w:rPr>
          <w:rFonts w:hint="eastAsia" w:ascii="宋体" w:hAnsi="宋体" w:cs="Courier New"/>
          <w:color w:val="auto"/>
          <w:sz w:val="24"/>
          <w:szCs w:val="24"/>
          <w:highlight w:val="none"/>
        </w:rPr>
        <w:t xml:space="preserve">10.7</w:t>
      </w:r>
      <w:r>
        <w:rPr>
          <w:rFonts w:hint="eastAsia" w:ascii="宋体" w:hAnsi="宋体" w:cs="Courier New"/>
          <w:color w:val="auto"/>
          <w:sz w:val="24"/>
          <w:szCs w:val="24"/>
          <w:highlight w:val="none"/>
          <w:lang w:val="zh-CN"/>
        </w:rPr>
        <w:t xml:space="preserve">网络安全、</w:t>
      </w:r>
      <w:r>
        <w:rPr>
          <w:rFonts w:hint="eastAsia" w:ascii="宋体" w:hAnsi="宋体" w:cs="Courier New"/>
          <w:color w:val="auto"/>
          <w:sz w:val="24"/>
          <w:szCs w:val="24"/>
          <w:highlight w:val="none"/>
        </w:rPr>
        <w:t xml:space="preserve">市场准入</w:t>
      </w:r>
      <w:r>
        <w:rPr>
          <w:rFonts w:hint="eastAsia" w:ascii="宋体" w:hAnsi="宋体" w:cs="Courier New"/>
          <w:color w:val="auto"/>
          <w:sz w:val="24"/>
          <w:szCs w:val="24"/>
          <w:highlight w:val="none"/>
          <w:lang w:val="zh-CN"/>
        </w:rPr>
        <w:t xml:space="preserve">要求（</w:t>
      </w:r>
      <w:r>
        <w:rPr>
          <w:rFonts w:hint="eastAsia" w:ascii="宋体" w:hAnsi="宋体" w:cs="Courier New"/>
          <w:color w:val="auto"/>
          <w:sz w:val="24"/>
          <w:szCs w:val="24"/>
          <w:highlight w:val="none"/>
        </w:rPr>
        <w:t xml:space="preserve">如有</w:t>
      </w:r>
      <w:r>
        <w:rPr>
          <w:rFonts w:hint="eastAsia" w:ascii="宋体" w:hAnsi="宋体" w:cs="Courier New"/>
          <w:color w:val="auto"/>
          <w:sz w:val="24"/>
          <w:szCs w:val="24"/>
          <w:highlight w:val="none"/>
          <w:lang w:val="zh-CN"/>
        </w:rPr>
        <w:t xml:space="preserve">）：</w:t>
      </w:r>
      <w:r>
        <w:rPr>
          <w:color w:val="auto"/>
          <w:highlight w:val="none"/>
        </w:rPr>
      </w:r>
      <w:r/>
    </w:p>
    <w:p>
      <w:pPr>
        <w:pStyle w:val="873"/>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十一、违约责任</w:t>
      </w:r>
      <w:r>
        <w:rPr>
          <w:color w:val="auto"/>
          <w:highlight w:val="none"/>
        </w:rPr>
      </w:r>
      <w:r/>
    </w:p>
    <w:p>
      <w:pPr>
        <w:pStyle w:val="873"/>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11.1 甲方无正当理由拒绝接受乙方提供服务的，应向乙方偿付拒绝接受服务合同总额</w:t>
      </w:r>
      <w:r>
        <w:rPr>
          <w:color w:val="auto"/>
          <w:highlight w:val="none"/>
        </w:rPr>
      </w:r>
      <w:r/>
    </w:p>
    <w:p>
      <w:pPr>
        <w:pStyle w:val="873"/>
        <w:rPr>
          <w:rFonts w:ascii="宋体" w:hAnsi="宋体" w:cs="Courier New"/>
          <w:color w:val="auto"/>
          <w:sz w:val="24"/>
          <w:szCs w:val="24"/>
          <w:highlight w:val="none"/>
        </w:rPr>
      </w:pP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 xml:space="preserve">的违约金。</w:t>
      </w:r>
      <w:r>
        <w:rPr>
          <w:color w:val="auto"/>
          <w:highlight w:val="none"/>
        </w:rPr>
      </w:r>
      <w:r/>
    </w:p>
    <w:p>
      <w:pPr>
        <w:pStyle w:val="873"/>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11.2 甲方无故逾期验收和办理支付手续的，应按逾期付款总额每日</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 xml:space="preserve">向乙方支付违约金，</w:t>
      </w:r>
      <w:r>
        <w:rPr>
          <w:rFonts w:ascii="宋体" w:hAnsi="宋体" w:cs="宋体"/>
          <w:color w:val="auto"/>
          <w:sz w:val="24"/>
          <w:szCs w:val="24"/>
          <w:highlight w:val="none"/>
        </w:rPr>
        <w:t xml:space="preserve">但违约金最高不得超过合同总价的</w:t>
      </w:r>
      <w:r>
        <w:rPr>
          <w:rFonts w:hint="eastAsia" w:ascii="宋体" w:hAnsi="宋体" w:cs="Courier New"/>
          <w:color w:val="auto"/>
          <w:sz w:val="24"/>
          <w:szCs w:val="24"/>
          <w:highlight w:val="none"/>
          <w:u w:val="single"/>
        </w:rPr>
        <w:t xml:space="preserve">     </w:t>
      </w:r>
      <w:r>
        <w:rPr>
          <w:rFonts w:ascii="宋体" w:hAnsi="宋体" w:cs="宋体"/>
          <w:color w:val="auto"/>
          <w:sz w:val="24"/>
          <w:szCs w:val="24"/>
          <w:highlight w:val="none"/>
        </w:rPr>
        <w:t xml:space="preserve">%。</w:t>
      </w:r>
      <w:r>
        <w:rPr>
          <w:color w:val="auto"/>
          <w:highlight w:val="none"/>
        </w:rPr>
      </w:r>
      <w:r/>
    </w:p>
    <w:p>
      <w:pPr>
        <w:pStyle w:val="873"/>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11.3 乙方逾期提供服务的，应按逾期提供服务合同总额每日</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 xml:space="preserve">向甲方支付违约金，由甲方从待付合同款中扣除。逾期超过约定日期10个工作日不能提供服务的，甲方可解除本合同。乙方因逾期提供服务或因其他违约行为导致甲方解除合同的，应向甲方支付合同总额</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 xml:space="preserve">的违约金。</w:t>
      </w:r>
      <w:r>
        <w:rPr>
          <w:color w:val="auto"/>
          <w:highlight w:val="none"/>
        </w:rPr>
      </w:r>
      <w:r/>
    </w:p>
    <w:p>
      <w:pPr>
        <w:pStyle w:val="873"/>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11.4 乙方所提供服务的标准不符合合同规定及招标文件规定标准的，甲方有权拒绝接受服务，并可单方面解除合同。</w:t>
      </w:r>
      <w:r>
        <w:rPr>
          <w:color w:val="auto"/>
          <w:highlight w:val="none"/>
        </w:rPr>
      </w:r>
      <w:r/>
    </w:p>
    <w:p>
      <w:pPr>
        <w:pStyle w:val="873"/>
        <w:rPr>
          <w:rFonts w:hint="eastAsia"/>
          <w:color w:val="auto"/>
          <w:highlight w:val="none"/>
        </w:rPr>
      </w:pPr>
      <w:r>
        <w:rPr>
          <w:rFonts w:hint="eastAsia" w:ascii="宋体" w:hAnsi="宋体" w:cs="Courier New"/>
          <w:color w:val="auto"/>
          <w:sz w:val="24"/>
          <w:szCs w:val="24"/>
          <w:highlight w:val="none"/>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color w:val="auto"/>
          <w:highlight w:val="none"/>
        </w:rPr>
      </w:r>
      <w:r/>
    </w:p>
    <w:p>
      <w:pPr>
        <w:pStyle w:val="873"/>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十二、不可抗力事件处理</w:t>
      </w:r>
      <w:r>
        <w:rPr>
          <w:color w:val="auto"/>
          <w:highlight w:val="none"/>
        </w:rPr>
      </w:r>
      <w:r/>
    </w:p>
    <w:p>
      <w:pPr>
        <w:pStyle w:val="873"/>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12.1 在合同有效期内，任何一方因不可抗力事件导致不能履行合同，则合同履行期可延长，其延长期与不可抗力影响期相同。</w:t>
      </w:r>
      <w:r>
        <w:rPr>
          <w:color w:val="auto"/>
          <w:highlight w:val="none"/>
        </w:rPr>
      </w:r>
      <w:r/>
    </w:p>
    <w:p>
      <w:pPr>
        <w:pStyle w:val="873"/>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12.2 不可抗力事件发生后，应立即通知对方并寄送有关权威机构出具的证明。</w:t>
      </w:r>
      <w:r>
        <w:rPr>
          <w:color w:val="auto"/>
          <w:highlight w:val="none"/>
        </w:rPr>
      </w:r>
      <w:r/>
    </w:p>
    <w:p>
      <w:pPr>
        <w:pStyle w:val="873"/>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12.3 不可抗力事件延续120天以上，双方应通过友好协商，确定是否继续履行合同。</w:t>
      </w:r>
      <w:r>
        <w:rPr>
          <w:color w:val="auto"/>
          <w:highlight w:val="none"/>
        </w:rPr>
      </w:r>
      <w:r/>
    </w:p>
    <w:p>
      <w:pPr>
        <w:pStyle w:val="873"/>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十三、解决争议的方法</w:t>
      </w:r>
      <w:r>
        <w:rPr>
          <w:color w:val="auto"/>
          <w:highlight w:val="none"/>
        </w:rPr>
      </w:r>
      <w:r/>
    </w:p>
    <w:p>
      <w:pPr>
        <w:pStyle w:val="873"/>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13.1 双方在签订、履行合同中所发生的一切争议，应通过友好协商解决。如协商不成的由甲方住所地人民法院管辖。</w:t>
      </w:r>
      <w:r>
        <w:rPr>
          <w:color w:val="auto"/>
          <w:highlight w:val="none"/>
        </w:rPr>
      </w:r>
      <w:r/>
    </w:p>
    <w:p>
      <w:pPr>
        <w:pStyle w:val="873"/>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十四、合同生效及其它</w:t>
      </w:r>
      <w:r>
        <w:rPr>
          <w:color w:val="auto"/>
          <w:highlight w:val="none"/>
        </w:rPr>
      </w:r>
      <w:r/>
    </w:p>
    <w:p>
      <w:pPr>
        <w:pStyle w:val="873"/>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14.1 本合同经双方加盖单位公章后生效。</w:t>
      </w:r>
      <w:r>
        <w:rPr>
          <w:color w:val="auto"/>
          <w:highlight w:val="none"/>
        </w:rPr>
      </w:r>
      <w:r/>
    </w:p>
    <w:p>
      <w:pPr>
        <w:pStyle w:val="873"/>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14.2 本合同未尽事宜，遵照《中华人民共和国民法典》《中华人民共和国政府采购法》有关条文执行。</w:t>
      </w:r>
      <w:r>
        <w:rPr>
          <w:color w:val="auto"/>
          <w:highlight w:val="none"/>
        </w:rPr>
      </w:r>
      <w:r/>
    </w:p>
    <w:p>
      <w:pPr>
        <w:pStyle w:val="873"/>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14.3 本合同正本一式两份，具有同等法律效力，甲方、乙方各执一份。</w:t>
      </w:r>
      <w:r>
        <w:rPr>
          <w:color w:val="auto"/>
          <w:highlight w:val="none"/>
        </w:rPr>
      </w:r>
      <w:r/>
    </w:p>
    <w:p>
      <w:pPr>
        <w:pStyle w:val="912"/>
        <w:spacing w:before="120" w:after="120"/>
        <w:rPr>
          <w:rFonts w:hint="eastAsia" w:hAnsi="宋体"/>
          <w:color w:val="auto"/>
          <w:sz w:val="24"/>
          <w:szCs w:val="24"/>
          <w:highlight w:val="none"/>
        </w:rPr>
      </w:pPr>
      <w:r>
        <w:rPr>
          <w:rFonts w:hint="eastAsia" w:hAnsi="宋体"/>
          <w:color w:val="auto"/>
          <w:sz w:val="24"/>
          <w:szCs w:val="24"/>
          <w:highlight w:val="none"/>
        </w:rPr>
        <w:t xml:space="preserve">  </w:t>
      </w:r>
      <w:r>
        <w:rPr>
          <w:color w:val="auto"/>
          <w:highlight w:val="none"/>
        </w:rPr>
      </w:r>
      <w:r/>
    </w:p>
    <w:p>
      <w:pPr>
        <w:pStyle w:val="912"/>
        <w:ind w:firstLine="240"/>
        <w:spacing w:before="120" w:after="120"/>
        <w:rPr>
          <w:rFonts w:hint="eastAsia" w:hAnsi="宋体"/>
          <w:color w:val="auto"/>
          <w:sz w:val="24"/>
          <w:szCs w:val="24"/>
          <w:highlight w:val="none"/>
        </w:rPr>
      </w:pPr>
      <w:r>
        <w:rPr>
          <w:color w:val="auto"/>
          <w:highlight w:val="none"/>
        </w:rPr>
      </w:r>
      <w:bookmarkEnd w:id="189"/>
      <w:r>
        <w:rPr>
          <w:color w:val="auto"/>
          <w:highlight w:val="none"/>
        </w:rPr>
      </w:r>
      <w:bookmarkEnd w:id="190"/>
      <w:r>
        <w:rPr>
          <w:color w:val="auto"/>
          <w:highlight w:val="none"/>
        </w:rPr>
      </w:r>
      <w:bookmarkEnd w:id="191"/>
      <w:r>
        <w:rPr>
          <w:rFonts w:hint="eastAsia" w:hAnsi="宋体"/>
          <w:color w:val="auto"/>
          <w:sz w:val="24"/>
          <w:szCs w:val="24"/>
          <w:highlight w:val="none"/>
        </w:rPr>
        <w:t xml:space="preserve">甲方：（公章）                       乙方：（公章） </w:t>
      </w:r>
      <w:r>
        <w:rPr>
          <w:color w:val="auto"/>
          <w:highlight w:val="none"/>
        </w:rPr>
      </w:r>
      <w:r/>
    </w:p>
    <w:p>
      <w:pPr>
        <w:pStyle w:val="912"/>
        <w:spacing w:before="120" w:after="120"/>
        <w:rPr>
          <w:rFonts w:hint="eastAsia" w:hAnsi="宋体"/>
          <w:color w:val="auto"/>
          <w:sz w:val="24"/>
          <w:szCs w:val="24"/>
          <w:highlight w:val="none"/>
        </w:rPr>
      </w:pPr>
      <w:r>
        <w:rPr>
          <w:rFonts w:hint="eastAsia" w:hAnsi="宋体"/>
          <w:color w:val="auto"/>
          <w:sz w:val="24"/>
          <w:szCs w:val="24"/>
          <w:highlight w:val="none"/>
        </w:rPr>
        <w:t xml:space="preserve">  地址：                               地址： </w:t>
      </w:r>
      <w:r>
        <w:rPr>
          <w:color w:val="auto"/>
          <w:highlight w:val="none"/>
        </w:rPr>
      </w:r>
      <w:r/>
    </w:p>
    <w:p>
      <w:pPr>
        <w:pStyle w:val="912"/>
        <w:spacing w:before="120" w:after="120"/>
        <w:rPr>
          <w:rFonts w:hint="eastAsia" w:hAnsi="宋体"/>
          <w:color w:val="auto"/>
          <w:sz w:val="24"/>
          <w:szCs w:val="24"/>
          <w:highlight w:val="none"/>
        </w:rPr>
      </w:pPr>
      <w:r>
        <w:rPr>
          <w:rFonts w:hint="eastAsia" w:hAnsi="宋体"/>
          <w:color w:val="auto"/>
          <w:sz w:val="24"/>
          <w:szCs w:val="24"/>
          <w:highlight w:val="none"/>
        </w:rPr>
        <w:t xml:space="preserve">  法定代表人或授权代表：               法定代表人或授权代表：</w:t>
      </w:r>
      <w:r>
        <w:rPr>
          <w:color w:val="auto"/>
          <w:highlight w:val="none"/>
        </w:rPr>
      </w:r>
      <w:r/>
    </w:p>
    <w:p>
      <w:pPr>
        <w:pStyle w:val="912"/>
        <w:ind w:firstLine="240"/>
        <w:spacing w:before="120" w:after="120"/>
        <w:rPr>
          <w:rFonts w:hint="eastAsia" w:hAnsi="宋体"/>
          <w:color w:val="auto"/>
          <w:sz w:val="24"/>
          <w:szCs w:val="24"/>
          <w:highlight w:val="none"/>
        </w:rPr>
      </w:pPr>
      <w:r>
        <w:rPr>
          <w:rFonts w:hint="eastAsia" w:hAnsi="宋体"/>
          <w:color w:val="auto"/>
          <w:sz w:val="24"/>
          <w:szCs w:val="24"/>
          <w:highlight w:val="none"/>
        </w:rPr>
        <w:t xml:space="preserve">联系电话：                           联系电话：          </w:t>
      </w:r>
      <w:r>
        <w:rPr>
          <w:color w:val="auto"/>
          <w:highlight w:val="none"/>
        </w:rPr>
      </w:r>
      <w:r/>
    </w:p>
    <w:p>
      <w:pPr>
        <w:pStyle w:val="912"/>
        <w:spacing w:before="120" w:after="120"/>
        <w:rPr>
          <w:rFonts w:hint="eastAsia" w:hAnsi="宋体"/>
          <w:color w:val="auto"/>
          <w:sz w:val="24"/>
          <w:szCs w:val="24"/>
          <w:highlight w:val="none"/>
        </w:rPr>
      </w:pPr>
      <w:r>
        <w:rPr>
          <w:rFonts w:hint="eastAsia" w:hAnsi="宋体"/>
          <w:color w:val="auto"/>
          <w:sz w:val="24"/>
          <w:szCs w:val="24"/>
          <w:highlight w:val="none"/>
        </w:rPr>
        <w:t xml:space="preserve">                                          </w:t>
      </w:r>
      <w:r>
        <w:rPr>
          <w:color w:val="auto"/>
          <w:highlight w:val="none"/>
        </w:rPr>
      </w:r>
      <w:r/>
    </w:p>
    <w:p>
      <w:pPr>
        <w:pStyle w:val="912"/>
        <w:ind w:firstLine="5280"/>
        <w:spacing w:before="120" w:after="120"/>
        <w:rPr>
          <w:rFonts w:hint="eastAsia" w:hAnsi="宋体"/>
          <w:color w:val="auto"/>
          <w:sz w:val="24"/>
          <w:szCs w:val="24"/>
          <w:highlight w:val="none"/>
        </w:rPr>
      </w:pPr>
      <w:r>
        <w:rPr>
          <w:rFonts w:hint="eastAsia" w:hAnsi="宋体"/>
          <w:color w:val="auto"/>
          <w:sz w:val="24"/>
          <w:szCs w:val="24"/>
          <w:highlight w:val="none"/>
        </w:rPr>
        <w:t xml:space="preserve">签订日期：</w:t>
      </w:r>
      <w:r>
        <w:rPr>
          <w:color w:val="auto"/>
          <w:highlight w:val="none"/>
        </w:rPr>
      </w:r>
      <w:r/>
    </w:p>
    <w:p>
      <w:pPr>
        <w:pStyle w:val="912"/>
        <w:ind w:firstLine="4800"/>
        <w:spacing w:before="120" w:after="120"/>
        <w:rPr>
          <w:rFonts w:hint="eastAsia" w:hAnsi="宋体"/>
          <w:color w:val="auto"/>
          <w:sz w:val="24"/>
          <w:szCs w:val="24"/>
          <w:highlight w:val="none"/>
        </w:rPr>
      </w:pPr>
      <w:r>
        <w:rPr>
          <w:rFonts w:hint="eastAsia" w:hAnsi="宋体"/>
          <w:color w:val="auto"/>
          <w:sz w:val="24"/>
          <w:szCs w:val="24"/>
          <w:highlight w:val="none"/>
        </w:rPr>
      </w:r>
      <w:r>
        <w:rPr>
          <w:color w:val="auto"/>
          <w:highlight w:val="none"/>
        </w:rPr>
      </w:r>
      <w:r/>
    </w:p>
    <w:p>
      <w:pPr>
        <w:pStyle w:val="873"/>
        <w:jc w:val="center"/>
        <w:spacing w:before="145" w:after="145"/>
        <w:rPr>
          <w:rFonts w:hint="eastAsia" w:ascii="宋体" w:hAnsi="宋体"/>
          <w:b/>
          <w:color w:val="auto"/>
          <w:sz w:val="30"/>
          <w:highlight w:val="none"/>
        </w:rPr>
      </w:pPr>
      <w:r>
        <w:rPr>
          <w:rFonts w:hint="eastAsia" w:ascii="宋体" w:hAnsi="宋体"/>
          <w:b/>
          <w:color w:val="auto"/>
          <w:sz w:val="30"/>
          <w:highlight w:val="none"/>
        </w:rPr>
      </w:r>
      <w:r>
        <w:rPr>
          <w:color w:val="auto"/>
          <w:highlight w:val="none"/>
        </w:rPr>
      </w:r>
      <w:r/>
    </w:p>
    <w:p>
      <w:pPr>
        <w:pStyle w:val="873"/>
        <w:jc w:val="center"/>
        <w:spacing w:before="145" w:after="145"/>
        <w:rPr>
          <w:rFonts w:hint="eastAsia" w:ascii="宋体" w:hAnsi="宋体"/>
          <w:b/>
          <w:color w:val="auto"/>
          <w:sz w:val="30"/>
          <w:highlight w:val="none"/>
        </w:rPr>
        <w:outlineLvl w:val="1"/>
      </w:pPr>
      <w:r>
        <w:rPr>
          <w:rFonts w:hint="eastAsia" w:ascii="宋体" w:hAnsi="宋体"/>
          <w:b/>
          <w:color w:val="auto"/>
          <w:sz w:val="30"/>
          <w:highlight w:val="none"/>
        </w:rPr>
        <w:t xml:space="preserve">《*******合同》补充协议（合同附件）</w:t>
      </w:r>
      <w:r>
        <w:rPr>
          <w:color w:val="auto"/>
          <w:highlight w:val="none"/>
        </w:rPr>
      </w:r>
      <w:r/>
    </w:p>
    <w:p>
      <w:pPr>
        <w:pStyle w:val="912"/>
        <w:ind w:firstLine="840"/>
        <w:jc w:val="left"/>
        <w:spacing w:before="120" w:after="120"/>
        <w:rPr>
          <w:rFonts w:hint="eastAsia" w:hAnsi="宋体"/>
          <w:color w:val="auto"/>
          <w:sz w:val="24"/>
          <w:szCs w:val="24"/>
          <w:highlight w:val="none"/>
        </w:rPr>
      </w:pPr>
      <w:r>
        <w:rPr>
          <w:rFonts w:hint="eastAsia" w:hAnsi="宋体"/>
          <w:color w:val="auto"/>
          <w:sz w:val="24"/>
          <w:szCs w:val="24"/>
          <w:highlight w:val="none"/>
        </w:rPr>
        <w:t xml:space="preserve">如遇招标文件及合同未约定事项，双方可友好协商签订补充协议。</w:t>
      </w:r>
      <w:r>
        <w:rPr>
          <w:color w:val="auto"/>
          <w:highlight w:val="none"/>
        </w:rPr>
      </w:r>
      <w:r/>
    </w:p>
    <w:p>
      <w:pPr>
        <w:pStyle w:val="994"/>
        <w:jc w:val="center"/>
        <w:spacing w:before="120" w:after="120" w:line="0" w:lineRule="atLeast"/>
        <w:rPr>
          <w:rFonts w:hint="eastAsia" w:ascii="方正小标宋简体" w:hAnsi="方正小标宋简体" w:eastAsia="方正小标宋简体" w:cs="方正小标宋简体"/>
          <w:color w:val="auto"/>
          <w:sz w:val="36"/>
          <w:szCs w:val="36"/>
          <w:highlight w:val="none"/>
        </w:rPr>
        <w:outlineLvl w:val="0"/>
      </w:pPr>
      <w:r>
        <w:rPr>
          <w:rFonts w:hint="eastAsia" w:ascii="方正小标宋简体" w:hAnsi="方正小标宋简体" w:eastAsia="方正小标宋简体" w:cs="方正小标宋简体"/>
          <w:color w:val="auto"/>
          <w:sz w:val="36"/>
          <w:szCs w:val="36"/>
          <w:highlight w:val="none"/>
        </w:rPr>
        <w:br w:type="page" w:clear="all"/>
      </w:r>
      <w:r>
        <w:rPr>
          <w:rFonts w:hint="eastAsia" w:ascii="方正小标宋简体" w:hAnsi="方正小标宋简体" w:eastAsia="方正小标宋简体" w:cs="方正小标宋简体"/>
          <w:color w:val="auto"/>
          <w:sz w:val="36"/>
          <w:szCs w:val="36"/>
          <w:highlight w:val="none"/>
        </w:rPr>
        <w:t xml:space="preserve">第</w:t>
      </w:r>
      <w:bookmarkEnd w:id="45"/>
      <w:r>
        <w:rPr>
          <w:rFonts w:hint="eastAsia" w:ascii="方正小标宋简体" w:hAnsi="方正小标宋简体" w:eastAsia="方正小标宋简体" w:cs="方正小标宋简体"/>
          <w:color w:val="auto"/>
          <w:sz w:val="36"/>
          <w:szCs w:val="36"/>
          <w:highlight w:val="none"/>
        </w:rPr>
        <w:t xml:space="preserve">四章  采购需求</w:t>
      </w:r>
      <w:bookmarkEnd w:id="44"/>
      <w:r>
        <w:rPr>
          <w:color w:val="auto"/>
          <w:highlight w:val="none"/>
        </w:rPr>
      </w:r>
      <w:bookmarkEnd w:id="46"/>
      <w:r>
        <w:rPr>
          <w:color w:val="auto"/>
          <w:highlight w:val="none"/>
        </w:rPr>
      </w:r>
      <w:bookmarkEnd w:id="47"/>
      <w:r>
        <w:rPr>
          <w:color w:val="auto"/>
          <w:highlight w:val="none"/>
        </w:rPr>
      </w:r>
      <w:r/>
    </w:p>
    <w:p>
      <w:pPr>
        <w:pStyle w:val="873"/>
        <w:ind w:firstLine="480"/>
        <w:spacing w:line="252" w:lineRule="auto"/>
        <w:rPr>
          <w:rFonts w:hint="eastAsia" w:ascii="黑体" w:hAnsi="黑体" w:eastAsia="黑体" w:cs="黑体"/>
          <w:color w:val="auto"/>
          <w:sz w:val="24"/>
          <w:szCs w:val="24"/>
          <w:highlight w:val="none"/>
        </w:rPr>
      </w:pPr>
      <w:r>
        <w:rPr>
          <w:color w:val="auto"/>
          <w:highlight w:val="none"/>
        </w:rPr>
      </w:r>
      <w:bookmarkStart w:id="192" w:name="_Toc49090575"/>
      <w:r>
        <w:rPr>
          <w:color w:val="auto"/>
          <w:highlight w:val="none"/>
        </w:rPr>
      </w:r>
      <w:bookmarkStart w:id="193" w:name="_Toc26554093"/>
      <w:r>
        <w:rPr>
          <w:rFonts w:hint="eastAsia" w:ascii="黑体" w:hAnsi="黑体" w:eastAsia="黑体" w:cs="黑体"/>
          <w:color w:val="auto"/>
          <w:sz w:val="24"/>
          <w:szCs w:val="24"/>
          <w:highlight w:val="none"/>
        </w:rPr>
        <w:t xml:space="preserve">一、项目属性：</w:t>
      </w:r>
      <w:r>
        <w:rPr>
          <w:rFonts w:hint="eastAsia" w:ascii="宋体" w:hAnsi="宋体" w:cs="宋体"/>
          <w:color w:val="auto"/>
          <w:sz w:val="24"/>
          <w:szCs w:val="24"/>
          <w:highlight w:val="none"/>
        </w:rPr>
        <w:t xml:space="preserve">服务类项目。</w:t>
      </w:r>
      <w:r>
        <w:rPr>
          <w:color w:val="auto"/>
          <w:highlight w:val="none"/>
        </w:rPr>
      </w:r>
      <w:r/>
    </w:p>
    <w:p>
      <w:pPr>
        <w:pStyle w:val="873"/>
        <w:ind w:firstLine="480"/>
        <w:spacing w:line="252" w:lineRule="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二、项目概况</w:t>
      </w:r>
      <w:r>
        <w:rPr>
          <w:color w:val="auto"/>
          <w:highlight w:val="none"/>
        </w:rPr>
      </w:r>
      <w:r/>
    </w:p>
    <w:p>
      <w:pPr>
        <w:pStyle w:val="873"/>
        <w:ind w:firstLine="480"/>
        <w:spacing w:line="252" w:lineRule="auto"/>
        <w:rPr>
          <w:rFonts w:hint="eastAsia" w:ascii="宋体" w:hAnsi="宋体"/>
          <w:color w:val="auto"/>
          <w:sz w:val="24"/>
          <w:szCs w:val="24"/>
          <w:highlight w:val="none"/>
        </w:rPr>
      </w:pPr>
      <w:r>
        <w:rPr>
          <w:rFonts w:hint="eastAsia" w:ascii="宋体" w:hAnsi="宋体"/>
          <w:color w:val="auto"/>
          <w:sz w:val="24"/>
          <w:szCs w:val="24"/>
          <w:highlight w:val="none"/>
        </w:rPr>
        <w:t xml:space="preserve">（一）项目背景</w:t>
      </w:r>
      <w:r>
        <w:rPr>
          <w:color w:val="auto"/>
          <w:highlight w:val="none"/>
        </w:rPr>
      </w:r>
      <w:r/>
    </w:p>
    <w:p>
      <w:pPr>
        <w:pStyle w:val="873"/>
        <w:ind w:firstLine="480"/>
        <w:jc w:val="left"/>
        <w:keepLines w:val="0"/>
        <w:keepNext w:val="0"/>
        <w:pageBreakBefore w:val="0"/>
        <w:spacing w:line="360" w:lineRule="auto"/>
        <w:widowControl/>
        <w:rPr>
          <w:rFonts w:hint="eastAsia" w:ascii="宋体" w:hAnsi="宋体" w:cs="Courier New"/>
          <w:color w:val="auto"/>
          <w:sz w:val="24"/>
          <w:szCs w:val="24"/>
          <w:highlight w:val="none"/>
        </w:rPr>
      </w:pPr>
      <w:r>
        <w:rPr>
          <w:rFonts w:hint="eastAsia" w:ascii="宋体" w:hAnsi="宋体" w:cs="宋体"/>
          <w:bCs/>
          <w:color w:val="auto"/>
          <w:sz w:val="24"/>
          <w:szCs w:val="24"/>
          <w:highlight w:val="none"/>
          <w:lang w:eastAsia="zh-CN"/>
        </w:rPr>
        <w:t xml:space="preserve">六合经济开发区2026-2027年度二片区园林绿化养护项目</w:t>
      </w:r>
      <w:r>
        <w:rPr>
          <w:rFonts w:hint="eastAsia" w:ascii="宋体" w:hAnsi="宋体" w:cs="宋体"/>
          <w:bCs/>
          <w:color w:val="auto"/>
          <w:sz w:val="24"/>
          <w:szCs w:val="24"/>
          <w:highlight w:val="none"/>
        </w:rPr>
        <w:t xml:space="preserve">位于六合经济开</w:t>
      </w:r>
      <w:r>
        <w:rPr>
          <w:rFonts w:hint="eastAsia" w:ascii="宋体" w:hAnsi="宋体" w:cs="宋体"/>
          <w:bCs/>
          <w:color w:val="auto"/>
          <w:sz w:val="24"/>
          <w:szCs w:val="24"/>
          <w:highlight w:val="none"/>
          <w:lang w:eastAsia="zh-CN"/>
        </w:rPr>
        <w:t xml:space="preserve">发区内</w:t>
      </w:r>
      <w:r>
        <w:rPr>
          <w:rFonts w:hint="eastAsia" w:ascii="宋体" w:hAnsi="宋体" w:cs="宋体"/>
          <w:bCs/>
          <w:color w:val="auto"/>
          <w:sz w:val="24"/>
          <w:szCs w:val="24"/>
          <w:highlight w:val="none"/>
          <w:lang w:val="en-US" w:eastAsia="zh-CN"/>
        </w:rPr>
        <w:t xml:space="preserve">北至江北大道（含）、南至沪陕高速、西至槽坊河（不含）、东至宁连公路区域及北至方水路（不含）、南至成品路（不含）、西至宁启铁路、东至规划路营路区域，合围区共计约9平方公里。</w:t>
      </w:r>
      <w:r>
        <w:rPr>
          <w:rFonts w:hint="eastAsia" w:ascii="宋体" w:hAnsi="宋体" w:cs="宋体"/>
          <w:bCs/>
          <w:color w:val="auto"/>
          <w:sz w:val="24"/>
          <w:szCs w:val="24"/>
          <w:highlight w:val="none"/>
          <w:lang w:eastAsia="zh-CN"/>
        </w:rPr>
        <w:t xml:space="preserve">为</w:t>
      </w:r>
      <w:r>
        <w:rPr>
          <w:rFonts w:hint="eastAsia" w:ascii="宋体" w:hAnsi="宋体" w:cs="Courier New"/>
          <w:color w:val="auto"/>
          <w:sz w:val="24"/>
          <w:szCs w:val="24"/>
          <w:highlight w:val="none"/>
        </w:rPr>
        <w:t xml:space="preserve">加强园区绿化养护、设施维护、秩序管理，营造良好的宜居生活和</w:t>
      </w:r>
      <w:r>
        <w:rPr>
          <w:rFonts w:hint="eastAsia" w:ascii="宋体" w:hAnsi="宋体" w:cs="宋体"/>
          <w:bCs/>
          <w:color w:val="auto"/>
          <w:sz w:val="24"/>
          <w:szCs w:val="24"/>
          <w:highlight w:val="none"/>
        </w:rPr>
        <w:t xml:space="preserve">生产办公环境，</w:t>
      </w:r>
      <w:r>
        <w:rPr>
          <w:rFonts w:hint="eastAsia" w:ascii="宋体" w:hAnsi="宋体" w:cs="Courier New"/>
          <w:color w:val="auto"/>
          <w:sz w:val="24"/>
          <w:szCs w:val="24"/>
          <w:highlight w:val="none"/>
        </w:rPr>
        <w:t xml:space="preserve">对</w:t>
      </w:r>
      <w:r>
        <w:rPr>
          <w:rFonts w:hint="eastAsia" w:ascii="宋体" w:hAnsi="宋体" w:cs="宋体"/>
          <w:bCs/>
          <w:color w:val="auto"/>
          <w:sz w:val="24"/>
          <w:szCs w:val="24"/>
          <w:highlight w:val="none"/>
          <w:lang w:eastAsia="zh-CN"/>
        </w:rPr>
        <w:t xml:space="preserve">六合经济开发区2026-2027年度二片区园林绿化养护项目</w:t>
      </w:r>
      <w:r>
        <w:rPr>
          <w:rFonts w:hint="eastAsia" w:ascii="宋体" w:hAnsi="宋体" w:cs="Courier New"/>
          <w:color w:val="auto"/>
          <w:sz w:val="24"/>
          <w:szCs w:val="24"/>
          <w:highlight w:val="none"/>
        </w:rPr>
        <w:t xml:space="preserve">进行采购。</w:t>
      </w:r>
      <w:r>
        <w:rPr>
          <w:color w:val="auto"/>
          <w:highlight w:val="none"/>
        </w:rPr>
      </w:r>
      <w:r/>
    </w:p>
    <w:p>
      <w:pPr>
        <w:pStyle w:val="873"/>
        <w:ind w:firstLine="480"/>
        <w:spacing w:line="252" w:lineRule="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r>
      <w:r>
        <w:rPr>
          <w:color w:val="auto"/>
          <w:highlight w:val="none"/>
        </w:rPr>
      </w:r>
      <w:r/>
    </w:p>
    <w:p>
      <w:pPr>
        <w:pStyle w:val="873"/>
        <w:ind w:firstLine="480"/>
        <w:spacing w:line="252" w:lineRule="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（二）项目建设遵循标准</w:t>
      </w:r>
      <w:r>
        <w:rPr>
          <w:color w:val="auto"/>
          <w:highlight w:val="none"/>
        </w:rPr>
      </w:r>
      <w:r/>
    </w:p>
    <w:p>
      <w:pPr>
        <w:pStyle w:val="873"/>
        <w:ind w:firstLine="480"/>
        <w:spacing w:line="252" w:lineRule="auto"/>
        <w:rPr>
          <w:rFonts w:hint="eastAsia" w:ascii="宋体" w:hAnsi="宋体"/>
          <w:color w:val="auto"/>
          <w:sz w:val="24"/>
          <w:szCs w:val="24"/>
          <w:highlight w:val="none"/>
        </w:rPr>
      </w:pPr>
      <w:r>
        <w:rPr>
          <w:rFonts w:hint="eastAsia" w:ascii="宋体" w:hAnsi="宋体"/>
          <w:color w:val="auto"/>
          <w:sz w:val="24"/>
          <w:szCs w:val="24"/>
          <w:highlight w:val="none"/>
        </w:rPr>
        <w:t xml:space="preserve">遵循国家、行业及地方现行的规范和标准。</w:t>
      </w:r>
      <w:r>
        <w:rPr>
          <w:color w:val="auto"/>
          <w:highlight w:val="none"/>
        </w:rPr>
      </w:r>
      <w:r/>
    </w:p>
    <w:p>
      <w:pPr>
        <w:pStyle w:val="873"/>
        <w:ind w:firstLine="480"/>
        <w:spacing w:line="252" w:lineRule="auto"/>
        <w:rPr>
          <w:rFonts w:hint="eastAsia" w:ascii="黑体" w:hAnsi="黑体" w:eastAsia="黑体" w:cs="黑体"/>
          <w:color w:val="auto"/>
          <w:sz w:val="24"/>
          <w:szCs w:val="24"/>
          <w:highlight w:val="none"/>
        </w:rPr>
        <w:outlineLvl w:val="1"/>
      </w:pPr>
      <w:r>
        <w:rPr>
          <w:rFonts w:hint="eastAsia" w:ascii="黑体" w:hAnsi="黑体" w:eastAsia="黑体" w:cs="黑体"/>
          <w:color w:val="auto"/>
          <w:sz w:val="24"/>
          <w:szCs w:val="24"/>
          <w:highlight w:val="none"/>
        </w:rPr>
        <w:t xml:space="preserve">三、项目清单</w:t>
      </w:r>
      <w:r>
        <w:rPr>
          <w:color w:val="auto"/>
          <w:highlight w:val="none"/>
        </w:rPr>
      </w:r>
      <w:r/>
    </w:p>
    <w:tbl>
      <w:tblPr>
        <w:tblW w:w="5439" w:type="pct"/>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05"/>
        <w:gridCol w:w="2956"/>
        <w:gridCol w:w="778"/>
        <w:gridCol w:w="742"/>
        <w:gridCol w:w="1048"/>
        <w:gridCol w:w="991"/>
        <w:gridCol w:w="1044"/>
        <w:gridCol w:w="716"/>
        <w:gridCol w:w="627"/>
        <w:gridCol w:w="1212"/>
      </w:tblGrid>
      <w:tr>
        <w:trPr>
          <w:trHeight w:val="888"/>
        </w:trPr>
        <w:tc>
          <w:tcPr>
            <w:tcW w:w="238" w:type="dxa"/>
            <w:vAlign w:val="center"/>
            <w:textDirection w:val="lrTb"/>
            <w:noWrap w:val="false"/>
          </w:tcPr>
          <w:p>
            <w:pPr>
              <w:pStyle w:val="873"/>
              <w:jc w:val="center"/>
              <w:spacing w:line="252"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序号</w:t>
            </w:r>
            <w:r>
              <w:rPr>
                <w:color w:val="auto"/>
                <w:highlight w:val="none"/>
              </w:rPr>
            </w:r>
            <w:r/>
          </w:p>
        </w:tc>
        <w:tc>
          <w:tcPr>
            <w:tcW w:w="1391" w:type="dxa"/>
            <w:vAlign w:val="center"/>
            <w:textDirection w:val="lrTb"/>
            <w:noWrap w:val="false"/>
          </w:tcPr>
          <w:p>
            <w:pPr>
              <w:pStyle w:val="873"/>
              <w:jc w:val="center"/>
              <w:spacing w:line="252"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分项名称</w:t>
            </w:r>
            <w:r>
              <w:rPr>
                <w:color w:val="auto"/>
                <w:highlight w:val="none"/>
              </w:rPr>
            </w:r>
            <w:r/>
          </w:p>
        </w:tc>
        <w:tc>
          <w:tcPr>
            <w:tcW w:w="366" w:type="dxa"/>
            <w:vAlign w:val="center"/>
            <w:textDirection w:val="lrTb"/>
            <w:noWrap w:val="false"/>
          </w:tcPr>
          <w:p>
            <w:pPr>
              <w:pStyle w:val="873"/>
              <w:jc w:val="center"/>
              <w:spacing w:line="252"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数量</w:t>
            </w:r>
            <w:r>
              <w:rPr>
                <w:color w:val="auto"/>
                <w:highlight w:val="none"/>
              </w:rPr>
            </w:r>
            <w:r/>
          </w:p>
        </w:tc>
        <w:tc>
          <w:tcPr>
            <w:tcW w:w="349" w:type="dxa"/>
            <w:vAlign w:val="center"/>
            <w:textDirection w:val="lrTb"/>
            <w:noWrap w:val="false"/>
          </w:tcPr>
          <w:p>
            <w:pPr>
              <w:pStyle w:val="873"/>
              <w:jc w:val="center"/>
              <w:spacing w:line="252"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单位</w:t>
            </w:r>
            <w:r>
              <w:rPr>
                <w:color w:val="auto"/>
                <w:highlight w:val="none"/>
              </w:rPr>
            </w:r>
            <w:r/>
          </w:p>
        </w:tc>
        <w:tc>
          <w:tcPr>
            <w:tcW w:w="493" w:type="dxa"/>
            <w:vAlign w:val="center"/>
            <w:textDirection w:val="lrTb"/>
            <w:noWrap w:val="false"/>
          </w:tcPr>
          <w:p>
            <w:pPr>
              <w:pStyle w:val="873"/>
              <w:jc w:val="center"/>
              <w:spacing w:line="252"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单价上限</w:t>
            </w:r>
            <w:r>
              <w:rPr>
                <w:color w:val="auto"/>
                <w:highlight w:val="none"/>
              </w:rPr>
            </w:r>
            <w:r/>
          </w:p>
          <w:p>
            <w:pPr>
              <w:pStyle w:val="873"/>
              <w:jc w:val="center"/>
              <w:spacing w:line="252"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（元）</w:t>
            </w:r>
            <w:r>
              <w:rPr>
                <w:color w:val="auto"/>
                <w:highlight w:val="none"/>
              </w:rPr>
            </w:r>
            <w:r/>
          </w:p>
        </w:tc>
        <w:tc>
          <w:tcPr>
            <w:tcW w:w="466" w:type="dxa"/>
            <w:vAlign w:val="center"/>
            <w:textDirection w:val="lrTb"/>
            <w:noWrap w:val="false"/>
          </w:tcPr>
          <w:p>
            <w:pPr>
              <w:pStyle w:val="873"/>
              <w:jc w:val="center"/>
              <w:spacing w:line="252"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产品类型</w:t>
            </w:r>
            <w:r>
              <w:rPr>
                <w:color w:val="auto"/>
                <w:highlight w:val="none"/>
              </w:rPr>
            </w:r>
            <w:r/>
          </w:p>
        </w:tc>
        <w:tc>
          <w:tcPr>
            <w:tcW w:w="491" w:type="dxa"/>
            <w:vAlign w:val="center"/>
            <w:textDirection w:val="lrTb"/>
            <w:noWrap w:val="false"/>
          </w:tcPr>
          <w:p>
            <w:pPr>
              <w:pStyle w:val="873"/>
              <w:jc w:val="center"/>
              <w:spacing w:line="252"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所属行业</w:t>
            </w:r>
            <w:r>
              <w:rPr>
                <w:color w:val="auto"/>
                <w:highlight w:val="none"/>
              </w:rPr>
            </w:r>
            <w:r/>
          </w:p>
        </w:tc>
        <w:tc>
          <w:tcPr>
            <w:tcW w:w="337" w:type="dxa"/>
            <w:vAlign w:val="center"/>
            <w:textDirection w:val="lrTb"/>
            <w:noWrap w:val="false"/>
          </w:tcPr>
          <w:p>
            <w:pPr>
              <w:pStyle w:val="873"/>
              <w:jc w:val="center"/>
              <w:spacing w:line="252"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属性</w:t>
            </w:r>
            <w:r>
              <w:rPr>
                <w:color w:val="auto"/>
                <w:highlight w:val="none"/>
              </w:rPr>
            </w:r>
            <w:r/>
          </w:p>
        </w:tc>
        <w:tc>
          <w:tcPr>
            <w:tcW w:w="295" w:type="dxa"/>
            <w:vAlign w:val="center"/>
            <w:textDirection w:val="lrTb"/>
            <w:noWrap w:val="false"/>
          </w:tcPr>
          <w:p>
            <w:pPr>
              <w:pStyle w:val="873"/>
              <w:jc w:val="center"/>
              <w:spacing w:line="252"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备注</w:t>
            </w:r>
            <w:r>
              <w:rPr>
                <w:color w:val="auto"/>
                <w:highlight w:val="none"/>
              </w:rPr>
            </w:r>
            <w:r/>
          </w:p>
        </w:tc>
        <w:tc>
          <w:tcPr>
            <w:tcW w:w="570" w:type="dxa"/>
            <w:vAlign w:val="center"/>
            <w:textDirection w:val="lrTb"/>
            <w:noWrap w:val="false"/>
          </w:tcPr>
          <w:p>
            <w:pPr>
              <w:pStyle w:val="873"/>
              <w:jc w:val="center"/>
              <w:spacing w:line="288"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政府强制采购节能产品</w:t>
            </w:r>
            <w:r>
              <w:rPr>
                <w:color w:val="auto"/>
                <w:highlight w:val="none"/>
              </w:rPr>
            </w:r>
            <w:r/>
          </w:p>
        </w:tc>
      </w:tr>
      <w:tr>
        <w:trPr>
          <w:trHeight w:val="587"/>
        </w:trPr>
        <w:tc>
          <w:tcPr>
            <w:tcW w:w="238" w:type="dxa"/>
            <w:vAlign w:val="center"/>
            <w:textDirection w:val="lrTb"/>
            <w:noWrap w:val="false"/>
          </w:tcPr>
          <w:p>
            <w:pPr>
              <w:pStyle w:val="873"/>
              <w:jc w:val="center"/>
              <w:spacing w:line="252" w:lineRule="auto"/>
              <w:rPr>
                <w:rFonts w:hint="eastAsia" w:ascii="宋体" w:hAnsi="宋体"/>
                <w:bCs/>
                <w:color w:val="auto"/>
                <w:sz w:val="24"/>
                <w:szCs w:val="24"/>
                <w:highlight w:val="none"/>
              </w:rPr>
            </w:pPr>
            <w:r>
              <w:rPr>
                <w:rFonts w:hint="eastAsia" w:ascii="宋体" w:hAnsi="宋体" w:cs="宋体"/>
                <w:bCs/>
                <w:color w:val="auto"/>
                <w:sz w:val="24"/>
                <w:szCs w:val="24"/>
                <w:highlight w:val="none"/>
              </w:rPr>
              <w:t xml:space="preserve">1</w:t>
            </w:r>
            <w:r>
              <w:rPr>
                <w:color w:val="auto"/>
                <w:highlight w:val="none"/>
              </w:rPr>
            </w:r>
            <w:r/>
          </w:p>
        </w:tc>
        <w:tc>
          <w:tcPr>
            <w:tcW w:w="1391" w:type="dxa"/>
            <w:vAlign w:val="center"/>
            <w:textDirection w:val="lrTb"/>
            <w:noWrap w:val="false"/>
          </w:tcPr>
          <w:p>
            <w:pPr>
              <w:pStyle w:val="873"/>
              <w:ind w:firstLine="0"/>
              <w:jc w:val="center"/>
              <w:spacing w:line="252" w:lineRule="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六合经济开发区2026-2027年度二片区园林绿化养护项目</w:t>
            </w:r>
            <w:r>
              <w:rPr>
                <w:rFonts w:hint="eastAsia"/>
                <w:color w:val="auto"/>
                <w:spacing w:val="-3"/>
                <w:sz w:val="24"/>
                <w:szCs w:val="24"/>
                <w:highlight w:val="none"/>
              </w:rPr>
              <w:t xml:space="preserve">（</w:t>
            </w:r>
            <w:r>
              <w:rPr>
                <w:rFonts w:hint="eastAsia"/>
                <w:color w:val="auto"/>
                <w:spacing w:val="-3"/>
                <w:sz w:val="24"/>
                <w:szCs w:val="24"/>
                <w:highlight w:val="none"/>
              </w:rPr>
              <w:t xml:space="preserve">绿地养护及硬质景观设施维护管理服务部分</w:t>
            </w:r>
            <w:r>
              <w:rPr>
                <w:rFonts w:hint="eastAsia"/>
                <w:color w:val="auto"/>
                <w:spacing w:val="-3"/>
                <w:sz w:val="24"/>
                <w:szCs w:val="24"/>
                <w:highlight w:val="none"/>
              </w:rPr>
              <w:t xml:space="preserve">）</w:t>
            </w:r>
            <w:r>
              <w:rPr>
                <w:color w:val="auto"/>
                <w:highlight w:val="none"/>
              </w:rPr>
            </w:r>
            <w:r/>
          </w:p>
        </w:tc>
        <w:tc>
          <w:tcPr>
            <w:tcW w:w="366" w:type="dxa"/>
            <w:vAlign w:val="center"/>
            <w:textDirection w:val="lrTb"/>
            <w:noWrap w:val="false"/>
          </w:tcPr>
          <w:p>
            <w:pPr>
              <w:pStyle w:val="873"/>
              <w:ind w:firstLine="0"/>
              <w:jc w:val="center"/>
              <w:spacing w:line="252" w:lineRule="auto"/>
              <w:rPr>
                <w:rFonts w:hint="eastAsia" w:ascii="宋体" w:hAnsi="宋体" w:eastAsia="宋体" w:cs="宋体"/>
                <w:bCs/>
                <w:color w:val="auto"/>
                <w:sz w:val="24"/>
                <w:szCs w:val="24"/>
                <w:highlight w:val="none"/>
              </w:rPr>
            </w:pPr>
            <w:r>
              <w:rPr>
                <w:rFonts w:hint="eastAsia" w:ascii="宋体" w:hAnsi="宋体" w:eastAsia="宋体" w:cs="宋体"/>
                <w:bCs/>
                <w:color w:val="auto"/>
                <w:spacing w:val="0"/>
                <w:sz w:val="24"/>
                <w:szCs w:val="24"/>
                <w:highlight w:val="none"/>
              </w:rPr>
              <w:t xml:space="preserve">1</w:t>
            </w:r>
            <w:r>
              <w:rPr>
                <w:color w:val="auto"/>
                <w:highlight w:val="none"/>
              </w:rPr>
            </w:r>
            <w:r/>
          </w:p>
        </w:tc>
        <w:tc>
          <w:tcPr>
            <w:tcW w:w="349" w:type="dxa"/>
            <w:vAlign w:val="center"/>
            <w:textDirection w:val="lrTb"/>
            <w:noWrap w:val="false"/>
          </w:tcPr>
          <w:p>
            <w:pPr>
              <w:pStyle w:val="873"/>
              <w:ind w:firstLine="0"/>
              <w:jc w:val="center"/>
              <w:spacing w:line="252" w:lineRule="auto"/>
              <w:rPr>
                <w:rFonts w:hint="eastAsia" w:ascii="宋体" w:hAnsi="宋体" w:eastAsia="宋体" w:cs="宋体"/>
                <w:bCs/>
                <w:color w:val="auto"/>
                <w:sz w:val="24"/>
                <w:szCs w:val="24"/>
                <w:highlight w:val="none"/>
              </w:rPr>
            </w:pPr>
            <w:r>
              <w:rPr>
                <w:rFonts w:hint="eastAsia" w:ascii="宋体" w:hAnsi="宋体" w:eastAsia="宋体" w:cs="宋体"/>
                <w:bCs/>
                <w:color w:val="auto"/>
                <w:spacing w:val="0"/>
                <w:sz w:val="24"/>
                <w:szCs w:val="24"/>
                <w:highlight w:val="none"/>
              </w:rPr>
              <w:t xml:space="preserve">项</w:t>
            </w:r>
            <w:r>
              <w:rPr>
                <w:color w:val="auto"/>
                <w:highlight w:val="none"/>
              </w:rPr>
            </w:r>
            <w:r/>
          </w:p>
        </w:tc>
        <w:tc>
          <w:tcPr>
            <w:tcW w:w="493" w:type="dxa"/>
            <w:vAlign w:val="center"/>
            <w:textDirection w:val="lrTb"/>
            <w:noWrap w:val="false"/>
          </w:tcPr>
          <w:p>
            <w:pPr>
              <w:pStyle w:val="873"/>
              <w:ind w:firstLine="0"/>
              <w:jc w:val="center"/>
              <w:spacing w:line="252"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w:t>
            </w:r>
            <w:r>
              <w:rPr>
                <w:color w:val="auto"/>
                <w:highlight w:val="none"/>
              </w:rPr>
            </w:r>
            <w:r/>
          </w:p>
        </w:tc>
        <w:tc>
          <w:tcPr>
            <w:tcW w:w="466" w:type="dxa"/>
            <w:vAlign w:val="center"/>
            <w:textDirection w:val="lrTb"/>
            <w:noWrap w:val="false"/>
          </w:tcPr>
          <w:p>
            <w:pPr>
              <w:pStyle w:val="873"/>
              <w:ind w:firstLine="0"/>
              <w:jc w:val="center"/>
              <w:spacing w:line="252" w:lineRule="auto"/>
              <w:rPr>
                <w:rFonts w:hint="eastAsia" w:ascii="宋体" w:hAnsi="宋体" w:eastAsia="宋体" w:cs="宋体"/>
                <w:bCs/>
                <w:color w:val="auto"/>
                <w:sz w:val="24"/>
                <w:szCs w:val="24"/>
                <w:highlight w:val="none"/>
              </w:rPr>
            </w:pPr>
            <w:r>
              <w:rPr>
                <w:rFonts w:hint="eastAsia" w:ascii="宋体" w:hAnsi="宋体" w:eastAsia="宋体" w:cs="宋体"/>
                <w:bCs/>
                <w:color w:val="auto"/>
                <w:spacing w:val="0"/>
                <w:sz w:val="24"/>
                <w:szCs w:val="24"/>
                <w:highlight w:val="none"/>
                <w:lang w:eastAsia="zh-CN"/>
              </w:rPr>
              <w:t xml:space="preserve">主要产品</w:t>
            </w:r>
            <w:r>
              <w:rPr>
                <w:color w:val="auto"/>
                <w:highlight w:val="none"/>
              </w:rPr>
            </w:r>
            <w:r/>
          </w:p>
        </w:tc>
        <w:tc>
          <w:tcPr>
            <w:tcW w:w="491" w:type="dxa"/>
            <w:vAlign w:val="center"/>
            <w:textDirection w:val="lrTb"/>
            <w:noWrap w:val="false"/>
          </w:tcPr>
          <w:p>
            <w:pPr>
              <w:pStyle w:val="873"/>
              <w:ind w:firstLine="0"/>
              <w:jc w:val="center"/>
              <w:spacing w:line="252"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其他未列明 行业</w:t>
            </w:r>
            <w:r>
              <w:rPr>
                <w:color w:val="auto"/>
                <w:highlight w:val="none"/>
              </w:rPr>
            </w:r>
            <w:r/>
          </w:p>
        </w:tc>
        <w:tc>
          <w:tcPr>
            <w:tcW w:w="337" w:type="dxa"/>
            <w:vAlign w:val="center"/>
            <w:textDirection w:val="lrTb"/>
            <w:noWrap w:val="false"/>
          </w:tcPr>
          <w:p>
            <w:pPr>
              <w:pStyle w:val="873"/>
              <w:ind w:firstLine="0"/>
              <w:jc w:val="center"/>
              <w:spacing w:line="252" w:lineRule="auto"/>
              <w:rPr>
                <w:rFonts w:hint="eastAsia" w:ascii="宋体" w:hAnsi="宋体" w:eastAsia="宋体" w:cs="宋体"/>
                <w:bCs/>
                <w:color w:val="auto"/>
                <w:sz w:val="24"/>
                <w:szCs w:val="24"/>
                <w:highlight w:val="none"/>
              </w:rPr>
            </w:pPr>
            <w:r>
              <w:rPr>
                <w:rFonts w:hint="eastAsia" w:ascii="宋体" w:hAnsi="宋体" w:eastAsia="宋体" w:cs="宋体"/>
                <w:bCs/>
                <w:color w:val="auto"/>
                <w:spacing w:val="0"/>
                <w:sz w:val="24"/>
                <w:szCs w:val="24"/>
                <w:highlight w:val="none"/>
              </w:rPr>
              <w:t xml:space="preserve">服务</w:t>
            </w:r>
            <w:r>
              <w:rPr>
                <w:color w:val="auto"/>
                <w:highlight w:val="none"/>
              </w:rPr>
            </w:r>
            <w:r/>
          </w:p>
        </w:tc>
        <w:tc>
          <w:tcPr>
            <w:tcW w:w="295" w:type="dxa"/>
            <w:vAlign w:val="center"/>
            <w:textDirection w:val="lrTb"/>
            <w:noWrap w:val="false"/>
          </w:tcPr>
          <w:p>
            <w:pPr>
              <w:pStyle w:val="873"/>
              <w:jc w:val="center"/>
              <w:spacing w:line="252" w:lineRule="auto"/>
              <w:rPr>
                <w:rFonts w:hint="eastAsia" w:ascii="宋体" w:hAnsi="宋体"/>
                <w:bCs/>
                <w:color w:val="auto"/>
                <w:sz w:val="24"/>
                <w:szCs w:val="24"/>
                <w:highlight w:val="none"/>
              </w:rPr>
            </w:pPr>
            <w:r>
              <w:rPr>
                <w:rFonts w:hint="eastAsia" w:ascii="宋体" w:hAnsi="宋体"/>
                <w:bCs/>
                <w:color w:val="auto"/>
                <w:sz w:val="24"/>
                <w:szCs w:val="24"/>
                <w:highlight w:val="none"/>
              </w:rPr>
            </w:r>
            <w:r>
              <w:rPr>
                <w:color w:val="auto"/>
                <w:highlight w:val="none"/>
              </w:rPr>
            </w:r>
            <w:r/>
          </w:p>
        </w:tc>
        <w:tc>
          <w:tcPr>
            <w:tcW w:w="570" w:type="dxa"/>
            <w:vAlign w:val="center"/>
            <w:textDirection w:val="lrTb"/>
            <w:noWrap w:val="false"/>
          </w:tcPr>
          <w:p>
            <w:pPr>
              <w:pStyle w:val="873"/>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rPr>
                <w:color w:val="auto"/>
                <w:highlight w:val="none"/>
              </w:rPr>
            </w:r>
            <w:r/>
          </w:p>
        </w:tc>
      </w:tr>
      <w:tr>
        <w:trPr>
          <w:trHeight w:val="1702"/>
        </w:trPr>
        <w:tc>
          <w:tcPr>
            <w:tcW w:w="238" w:type="dxa"/>
            <w:vAlign w:val="center"/>
            <w:textDirection w:val="lrTb"/>
            <w:noWrap w:val="false"/>
          </w:tcPr>
          <w:p>
            <w:pPr>
              <w:pStyle w:val="873"/>
              <w:jc w:val="center"/>
              <w:spacing w:line="252" w:lineRule="auto"/>
              <w:rPr>
                <w:rFonts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2</w:t>
            </w:r>
            <w:r>
              <w:rPr>
                <w:color w:val="auto"/>
                <w:highlight w:val="none"/>
              </w:rPr>
            </w:r>
            <w:r/>
          </w:p>
        </w:tc>
        <w:tc>
          <w:tcPr>
            <w:tcW w:w="1391" w:type="dxa"/>
            <w:vAlign w:val="center"/>
            <w:textDirection w:val="lrTb"/>
            <w:noWrap w:val="false"/>
          </w:tcPr>
          <w:p>
            <w:pPr>
              <w:pStyle w:val="873"/>
              <w:jc w:val="left"/>
              <w:keepLines w:val="0"/>
              <w:keepNext w:val="0"/>
              <w:pageBreakBefore w:val="0"/>
              <w:spacing w:line="320" w:lineRule="exact"/>
              <w:widowControl w:val="off"/>
              <w:rPr>
                <w:rFonts w:hint="eastAsia"/>
                <w:color w:val="auto"/>
                <w:spacing w:val="-3"/>
                <w:sz w:val="24"/>
                <w:szCs w:val="24"/>
                <w:highlight w:val="none"/>
              </w:rPr>
            </w:pPr>
            <w:r>
              <w:rPr>
                <w:rFonts w:hint="eastAsia" w:ascii="宋体" w:hAnsi="宋体" w:eastAsia="宋体" w:cs="宋体"/>
                <w:bCs/>
                <w:color w:val="auto"/>
                <w:sz w:val="24"/>
                <w:szCs w:val="24"/>
                <w:highlight w:val="none"/>
                <w:lang w:eastAsia="zh-CN"/>
              </w:rPr>
              <w:t xml:space="preserve">六合经济开发区2026-2027年度二片区园林绿化养护项目（行道树养护管理服务部分）</w:t>
            </w:r>
            <w:r>
              <w:rPr>
                <w:color w:val="auto"/>
                <w:highlight w:val="none"/>
              </w:rPr>
            </w:r>
            <w:r/>
          </w:p>
        </w:tc>
        <w:tc>
          <w:tcPr>
            <w:tcW w:w="366" w:type="dxa"/>
            <w:vAlign w:val="center"/>
            <w:textDirection w:val="lrTb"/>
            <w:noWrap w:val="false"/>
          </w:tcPr>
          <w:p>
            <w:pPr>
              <w:pStyle w:val="873"/>
              <w:ind w:firstLine="0"/>
              <w:jc w:val="center"/>
              <w:spacing w:line="252" w:lineRule="auto"/>
              <w:rPr>
                <w:rFonts w:hint="eastAsia" w:ascii="宋体" w:hAnsi="宋体" w:eastAsia="宋体" w:cs="宋体"/>
                <w:bCs/>
                <w:color w:val="auto"/>
                <w:sz w:val="24"/>
                <w:szCs w:val="24"/>
                <w:highlight w:val="none"/>
              </w:rPr>
            </w:pPr>
            <w:r>
              <w:rPr>
                <w:rFonts w:hint="eastAsia" w:ascii="宋体" w:hAnsi="宋体" w:eastAsia="宋体" w:cs="宋体"/>
                <w:bCs/>
                <w:color w:val="auto"/>
                <w:spacing w:val="0"/>
                <w:sz w:val="24"/>
                <w:szCs w:val="24"/>
                <w:highlight w:val="none"/>
              </w:rPr>
              <w:t xml:space="preserve">1</w:t>
            </w:r>
            <w:r>
              <w:rPr>
                <w:color w:val="auto"/>
                <w:highlight w:val="none"/>
              </w:rPr>
            </w:r>
            <w:r/>
          </w:p>
        </w:tc>
        <w:tc>
          <w:tcPr>
            <w:tcW w:w="349" w:type="dxa"/>
            <w:vAlign w:val="center"/>
            <w:textDirection w:val="lrTb"/>
            <w:noWrap w:val="false"/>
          </w:tcPr>
          <w:p>
            <w:pPr>
              <w:pStyle w:val="873"/>
              <w:ind w:firstLine="0"/>
              <w:jc w:val="center"/>
              <w:spacing w:line="252" w:lineRule="auto"/>
              <w:rPr>
                <w:rFonts w:hint="eastAsia" w:ascii="宋体" w:hAnsi="宋体" w:eastAsia="宋体" w:cs="宋体"/>
                <w:bCs/>
                <w:color w:val="auto"/>
                <w:sz w:val="24"/>
                <w:szCs w:val="24"/>
                <w:highlight w:val="none"/>
              </w:rPr>
            </w:pPr>
            <w:r>
              <w:rPr>
                <w:rFonts w:hint="eastAsia" w:ascii="宋体" w:hAnsi="宋体" w:eastAsia="宋体" w:cs="宋体"/>
                <w:bCs/>
                <w:color w:val="auto"/>
                <w:spacing w:val="0"/>
                <w:sz w:val="24"/>
                <w:szCs w:val="24"/>
                <w:highlight w:val="none"/>
              </w:rPr>
              <w:t xml:space="preserve">项</w:t>
            </w:r>
            <w:r>
              <w:rPr>
                <w:color w:val="auto"/>
                <w:highlight w:val="none"/>
              </w:rPr>
            </w:r>
            <w:r/>
          </w:p>
        </w:tc>
        <w:tc>
          <w:tcPr>
            <w:tcW w:w="493" w:type="dxa"/>
            <w:vAlign w:val="center"/>
            <w:textDirection w:val="lrTb"/>
            <w:noWrap w:val="false"/>
          </w:tcPr>
          <w:p>
            <w:pPr>
              <w:pStyle w:val="873"/>
              <w:ind w:firstLine="0"/>
              <w:jc w:val="center"/>
              <w:spacing w:line="252"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w:t>
            </w:r>
            <w:r>
              <w:rPr>
                <w:color w:val="auto"/>
                <w:highlight w:val="none"/>
              </w:rPr>
            </w:r>
            <w:r/>
          </w:p>
        </w:tc>
        <w:tc>
          <w:tcPr>
            <w:tcW w:w="466" w:type="dxa"/>
            <w:vAlign w:val="center"/>
            <w:textDirection w:val="lrTb"/>
            <w:noWrap w:val="false"/>
          </w:tcPr>
          <w:p>
            <w:pPr>
              <w:pStyle w:val="873"/>
              <w:ind w:firstLine="0"/>
              <w:jc w:val="center"/>
              <w:spacing w:line="252" w:lineRule="auto"/>
              <w:rPr>
                <w:rFonts w:hint="eastAsia" w:ascii="宋体" w:hAnsi="宋体" w:eastAsia="宋体" w:cs="宋体"/>
                <w:bCs/>
                <w:color w:val="auto"/>
                <w:sz w:val="24"/>
                <w:szCs w:val="24"/>
                <w:highlight w:val="none"/>
              </w:rPr>
            </w:pPr>
            <w:r>
              <w:rPr>
                <w:color w:val="auto"/>
                <w:highlight w:val="none"/>
              </w:rPr>
            </w:r>
            <w:r/>
          </w:p>
        </w:tc>
        <w:tc>
          <w:tcPr>
            <w:tcW w:w="491" w:type="dxa"/>
            <w:vAlign w:val="center"/>
            <w:textDirection w:val="lrTb"/>
            <w:noWrap w:val="false"/>
          </w:tcPr>
          <w:p>
            <w:pPr>
              <w:pStyle w:val="873"/>
              <w:ind w:firstLine="0"/>
              <w:jc w:val="center"/>
              <w:spacing w:line="252"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其他未列明 行业</w:t>
            </w:r>
            <w:r>
              <w:rPr>
                <w:color w:val="auto"/>
                <w:highlight w:val="none"/>
              </w:rPr>
            </w:r>
            <w:r/>
          </w:p>
        </w:tc>
        <w:tc>
          <w:tcPr>
            <w:tcW w:w="337" w:type="dxa"/>
            <w:vAlign w:val="center"/>
            <w:textDirection w:val="lrTb"/>
            <w:noWrap w:val="false"/>
          </w:tcPr>
          <w:p>
            <w:pPr>
              <w:pStyle w:val="873"/>
              <w:ind w:firstLine="0"/>
              <w:jc w:val="center"/>
              <w:spacing w:line="252" w:lineRule="auto"/>
              <w:rPr>
                <w:rFonts w:hint="eastAsia" w:ascii="宋体" w:hAnsi="宋体" w:eastAsia="宋体" w:cs="宋体"/>
                <w:bCs/>
                <w:color w:val="auto"/>
                <w:sz w:val="24"/>
                <w:szCs w:val="24"/>
                <w:highlight w:val="none"/>
              </w:rPr>
            </w:pPr>
            <w:r>
              <w:rPr>
                <w:rFonts w:hint="eastAsia" w:ascii="宋体" w:hAnsi="宋体" w:eastAsia="宋体" w:cs="宋体"/>
                <w:bCs/>
                <w:color w:val="auto"/>
                <w:spacing w:val="0"/>
                <w:sz w:val="24"/>
                <w:szCs w:val="24"/>
                <w:highlight w:val="none"/>
              </w:rPr>
              <w:t xml:space="preserve">服务</w:t>
            </w:r>
            <w:r>
              <w:rPr>
                <w:color w:val="auto"/>
                <w:highlight w:val="none"/>
              </w:rPr>
            </w:r>
            <w:r/>
          </w:p>
        </w:tc>
        <w:tc>
          <w:tcPr>
            <w:tcW w:w="295" w:type="dxa"/>
            <w:vAlign w:val="center"/>
            <w:textDirection w:val="lrTb"/>
            <w:noWrap w:val="false"/>
          </w:tcPr>
          <w:p>
            <w:pPr>
              <w:pStyle w:val="873"/>
              <w:jc w:val="center"/>
              <w:spacing w:line="252" w:lineRule="auto"/>
              <w:rPr>
                <w:rFonts w:hint="eastAsia" w:ascii="宋体" w:hAnsi="宋体"/>
                <w:bCs/>
                <w:color w:val="auto"/>
                <w:sz w:val="24"/>
                <w:szCs w:val="24"/>
                <w:highlight w:val="none"/>
              </w:rPr>
            </w:pPr>
            <w:r>
              <w:rPr>
                <w:rFonts w:hint="eastAsia" w:ascii="宋体" w:hAnsi="宋体"/>
                <w:bCs/>
                <w:color w:val="auto"/>
                <w:sz w:val="24"/>
                <w:szCs w:val="24"/>
                <w:highlight w:val="none"/>
              </w:rPr>
            </w:r>
            <w:r>
              <w:rPr>
                <w:color w:val="auto"/>
                <w:highlight w:val="none"/>
              </w:rPr>
            </w:r>
            <w:r/>
          </w:p>
        </w:tc>
        <w:tc>
          <w:tcPr>
            <w:tcW w:w="570" w:type="dxa"/>
            <w:vAlign w:val="center"/>
            <w:textDirection w:val="lrTb"/>
            <w:noWrap w:val="false"/>
          </w:tcPr>
          <w:p>
            <w:pPr>
              <w:pStyle w:val="873"/>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rPr>
                <w:color w:val="auto"/>
                <w:highlight w:val="none"/>
              </w:rPr>
            </w:r>
            <w:r/>
          </w:p>
        </w:tc>
      </w:tr>
      <w:tr>
        <w:trPr>
          <w:trHeight w:val="587"/>
        </w:trPr>
        <w:tc>
          <w:tcPr>
            <w:tcW w:w="238" w:type="dxa"/>
            <w:vAlign w:val="center"/>
            <w:textDirection w:val="lrTb"/>
            <w:noWrap w:val="false"/>
          </w:tcPr>
          <w:p>
            <w:pPr>
              <w:pStyle w:val="873"/>
              <w:jc w:val="center"/>
              <w:spacing w:line="252" w:lineRule="auto"/>
              <w:rPr>
                <w:rFonts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3</w:t>
            </w:r>
            <w:r>
              <w:rPr>
                <w:color w:val="auto"/>
                <w:highlight w:val="none"/>
              </w:rPr>
            </w:r>
            <w:r/>
          </w:p>
        </w:tc>
        <w:tc>
          <w:tcPr>
            <w:tcW w:w="1391" w:type="dxa"/>
            <w:vAlign w:val="center"/>
            <w:textDirection w:val="lrTb"/>
            <w:noWrap w:val="false"/>
          </w:tcPr>
          <w:p>
            <w:pPr>
              <w:pStyle w:val="873"/>
              <w:jc w:val="left"/>
              <w:keepLines w:val="0"/>
              <w:keepNext w:val="0"/>
              <w:pageBreakBefore w:val="0"/>
              <w:spacing w:line="32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六合经济开发区2026-2027年度二片区园林绿化养护项目（四季草花更换及养护服务部分）</w:t>
            </w:r>
            <w:r>
              <w:rPr>
                <w:color w:val="auto"/>
                <w:highlight w:val="none"/>
              </w:rPr>
            </w:r>
            <w:r/>
          </w:p>
        </w:tc>
        <w:tc>
          <w:tcPr>
            <w:tcW w:w="366" w:type="dxa"/>
            <w:vAlign w:val="center"/>
            <w:textDirection w:val="lrTb"/>
            <w:noWrap w:val="false"/>
          </w:tcPr>
          <w:p>
            <w:pPr>
              <w:pStyle w:val="873"/>
              <w:ind w:firstLine="0"/>
              <w:jc w:val="center"/>
              <w:spacing w:line="252" w:lineRule="auto"/>
              <w:rPr>
                <w:rFonts w:hint="eastAsia" w:ascii="宋体" w:hAnsi="宋体" w:eastAsia="宋体" w:cs="宋体"/>
                <w:bCs/>
                <w:color w:val="auto"/>
                <w:sz w:val="24"/>
                <w:szCs w:val="24"/>
                <w:highlight w:val="none"/>
              </w:rPr>
            </w:pPr>
            <w:r>
              <w:rPr>
                <w:rFonts w:hint="eastAsia" w:ascii="宋体" w:hAnsi="宋体" w:eastAsia="宋体" w:cs="宋体"/>
                <w:bCs/>
                <w:color w:val="auto"/>
                <w:spacing w:val="0"/>
                <w:sz w:val="24"/>
                <w:szCs w:val="24"/>
                <w:highlight w:val="none"/>
              </w:rPr>
              <w:t xml:space="preserve">1</w:t>
            </w:r>
            <w:r>
              <w:rPr>
                <w:color w:val="auto"/>
                <w:highlight w:val="none"/>
              </w:rPr>
            </w:r>
            <w:r/>
          </w:p>
        </w:tc>
        <w:tc>
          <w:tcPr>
            <w:tcW w:w="349" w:type="dxa"/>
            <w:vAlign w:val="center"/>
            <w:textDirection w:val="lrTb"/>
            <w:noWrap w:val="false"/>
          </w:tcPr>
          <w:p>
            <w:pPr>
              <w:pStyle w:val="873"/>
              <w:ind w:firstLine="0"/>
              <w:jc w:val="center"/>
              <w:spacing w:line="252" w:lineRule="auto"/>
              <w:rPr>
                <w:rFonts w:hint="eastAsia" w:ascii="宋体" w:hAnsi="宋体" w:eastAsia="宋体" w:cs="宋体"/>
                <w:bCs/>
                <w:color w:val="auto"/>
                <w:sz w:val="24"/>
                <w:szCs w:val="24"/>
                <w:highlight w:val="none"/>
              </w:rPr>
            </w:pPr>
            <w:r>
              <w:rPr>
                <w:rFonts w:hint="eastAsia" w:ascii="宋体" w:hAnsi="宋体" w:eastAsia="宋体" w:cs="宋体"/>
                <w:bCs/>
                <w:color w:val="auto"/>
                <w:spacing w:val="0"/>
                <w:sz w:val="24"/>
                <w:szCs w:val="24"/>
                <w:highlight w:val="none"/>
              </w:rPr>
              <w:t xml:space="preserve">项</w:t>
            </w:r>
            <w:r>
              <w:rPr>
                <w:color w:val="auto"/>
                <w:highlight w:val="none"/>
              </w:rPr>
            </w:r>
            <w:r/>
          </w:p>
        </w:tc>
        <w:tc>
          <w:tcPr>
            <w:tcW w:w="493" w:type="dxa"/>
            <w:vAlign w:val="center"/>
            <w:textDirection w:val="lrTb"/>
            <w:noWrap w:val="false"/>
          </w:tcPr>
          <w:p>
            <w:pPr>
              <w:pStyle w:val="873"/>
              <w:ind w:firstLine="0"/>
              <w:jc w:val="center"/>
              <w:spacing w:line="252"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w:t>
            </w:r>
            <w:r>
              <w:rPr>
                <w:color w:val="auto"/>
                <w:highlight w:val="none"/>
              </w:rPr>
            </w:r>
            <w:r/>
          </w:p>
        </w:tc>
        <w:tc>
          <w:tcPr>
            <w:tcW w:w="466" w:type="dxa"/>
            <w:vAlign w:val="center"/>
            <w:textDirection w:val="lrTb"/>
            <w:noWrap w:val="false"/>
          </w:tcPr>
          <w:p>
            <w:pPr>
              <w:pStyle w:val="873"/>
              <w:ind w:firstLine="0"/>
              <w:jc w:val="center"/>
              <w:spacing w:line="252" w:lineRule="auto"/>
              <w:rPr>
                <w:rFonts w:hint="eastAsia" w:ascii="宋体" w:hAnsi="宋体" w:eastAsia="宋体" w:cs="宋体"/>
                <w:bCs/>
                <w:color w:val="auto"/>
                <w:sz w:val="24"/>
                <w:szCs w:val="24"/>
                <w:highlight w:val="none"/>
              </w:rPr>
            </w:pPr>
            <w:r>
              <w:rPr>
                <w:color w:val="auto"/>
                <w:highlight w:val="none"/>
              </w:rPr>
            </w:r>
            <w:r/>
          </w:p>
        </w:tc>
        <w:tc>
          <w:tcPr>
            <w:tcW w:w="491" w:type="dxa"/>
            <w:vAlign w:val="center"/>
            <w:textDirection w:val="lrTb"/>
            <w:noWrap w:val="false"/>
          </w:tcPr>
          <w:p>
            <w:pPr>
              <w:pStyle w:val="873"/>
              <w:ind w:firstLine="0"/>
              <w:jc w:val="center"/>
              <w:spacing w:line="252"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其他未列明 行业</w:t>
            </w:r>
            <w:r>
              <w:rPr>
                <w:color w:val="auto"/>
                <w:highlight w:val="none"/>
              </w:rPr>
            </w:r>
            <w:r/>
          </w:p>
        </w:tc>
        <w:tc>
          <w:tcPr>
            <w:tcW w:w="337" w:type="dxa"/>
            <w:vAlign w:val="center"/>
            <w:textDirection w:val="lrTb"/>
            <w:noWrap w:val="false"/>
          </w:tcPr>
          <w:p>
            <w:pPr>
              <w:pStyle w:val="873"/>
              <w:ind w:firstLine="0"/>
              <w:jc w:val="center"/>
              <w:spacing w:line="252" w:lineRule="auto"/>
              <w:rPr>
                <w:rFonts w:hint="eastAsia" w:ascii="宋体" w:hAnsi="宋体" w:eastAsia="宋体" w:cs="宋体"/>
                <w:bCs/>
                <w:color w:val="auto"/>
                <w:sz w:val="24"/>
                <w:szCs w:val="24"/>
                <w:highlight w:val="none"/>
              </w:rPr>
            </w:pPr>
            <w:r>
              <w:rPr>
                <w:rFonts w:hint="eastAsia" w:ascii="宋体" w:hAnsi="宋体" w:eastAsia="宋体" w:cs="宋体"/>
                <w:bCs/>
                <w:color w:val="auto"/>
                <w:spacing w:val="0"/>
                <w:sz w:val="24"/>
                <w:szCs w:val="24"/>
                <w:highlight w:val="none"/>
              </w:rPr>
              <w:t xml:space="preserve">服务</w:t>
            </w:r>
            <w:r>
              <w:rPr>
                <w:color w:val="auto"/>
                <w:highlight w:val="none"/>
              </w:rPr>
            </w:r>
            <w:r/>
          </w:p>
        </w:tc>
        <w:tc>
          <w:tcPr>
            <w:tcW w:w="295" w:type="dxa"/>
            <w:vAlign w:val="center"/>
            <w:textDirection w:val="lrTb"/>
            <w:noWrap w:val="false"/>
          </w:tcPr>
          <w:p>
            <w:pPr>
              <w:pStyle w:val="873"/>
              <w:jc w:val="center"/>
              <w:spacing w:line="252" w:lineRule="auto"/>
              <w:rPr>
                <w:rFonts w:hint="eastAsia" w:ascii="宋体" w:hAnsi="宋体"/>
                <w:bCs/>
                <w:color w:val="auto"/>
                <w:sz w:val="24"/>
                <w:szCs w:val="24"/>
                <w:highlight w:val="none"/>
              </w:rPr>
            </w:pPr>
            <w:r>
              <w:rPr>
                <w:rFonts w:hint="eastAsia" w:ascii="宋体" w:hAnsi="宋体"/>
                <w:bCs/>
                <w:color w:val="auto"/>
                <w:sz w:val="24"/>
                <w:szCs w:val="24"/>
                <w:highlight w:val="none"/>
              </w:rPr>
            </w:r>
            <w:r>
              <w:rPr>
                <w:color w:val="auto"/>
                <w:highlight w:val="none"/>
              </w:rPr>
            </w:r>
            <w:r/>
          </w:p>
        </w:tc>
        <w:tc>
          <w:tcPr>
            <w:tcW w:w="570" w:type="dxa"/>
            <w:vAlign w:val="center"/>
            <w:textDirection w:val="lrTb"/>
            <w:noWrap w:val="false"/>
          </w:tcPr>
          <w:p>
            <w:pPr>
              <w:pStyle w:val="873"/>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rPr>
                <w:color w:val="auto"/>
                <w:highlight w:val="none"/>
              </w:rPr>
            </w:r>
            <w:r/>
          </w:p>
        </w:tc>
      </w:tr>
    </w:tbl>
    <w:p>
      <w:pPr>
        <w:pStyle w:val="873"/>
        <w:spacing w:line="252"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zh-CN"/>
        </w:rPr>
      </w:r>
      <w:r>
        <w:rPr>
          <w:color w:val="auto"/>
          <w:highlight w:val="none"/>
        </w:rPr>
      </w:r>
      <w:r/>
    </w:p>
    <w:p>
      <w:pPr>
        <w:pStyle w:val="873"/>
        <w:ind w:firstLine="480"/>
        <w:spacing w:line="252" w:lineRule="auto"/>
        <w:widowControl/>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r>
      <w:r>
        <w:rPr>
          <w:color w:val="auto"/>
          <w:highlight w:val="none"/>
        </w:rPr>
      </w:r>
      <w:r/>
    </w:p>
    <w:p>
      <w:pPr>
        <w:pStyle w:val="873"/>
        <w:ind w:firstLine="480"/>
        <w:spacing w:line="252" w:lineRule="auto"/>
        <w:rPr>
          <w:rFonts w:hint="eastAsia" w:ascii="宋体" w:hAnsi="宋体" w:cs="宋体"/>
          <w:b/>
          <w:color w:val="auto"/>
          <w:sz w:val="24"/>
          <w:szCs w:val="24"/>
          <w:highlight w:val="none"/>
        </w:rPr>
        <w:outlineLvl w:val="1"/>
      </w:pPr>
      <w:r>
        <w:rPr>
          <w:rFonts w:hint="eastAsia" w:ascii="黑体" w:hAnsi="黑体" w:eastAsia="黑体" w:cs="黑体"/>
          <w:color w:val="auto"/>
          <w:sz w:val="24"/>
          <w:szCs w:val="24"/>
          <w:highlight w:val="none"/>
        </w:rPr>
        <w:t xml:space="preserve">四、拟采购标的需要满足的技术、商务要求</w:t>
      </w:r>
      <w:r>
        <w:rPr>
          <w:color w:val="auto"/>
          <w:highlight w:val="none"/>
        </w:rPr>
      </w:r>
      <w:r/>
    </w:p>
    <w:p>
      <w:pPr>
        <w:pStyle w:val="873"/>
        <w:ind w:firstLine="480"/>
        <w:spacing w:line="252" w:lineRule="auto"/>
        <w:rPr>
          <w:rFonts w:hint="eastAsia" w:ascii="宋体" w:hAnsi="宋体" w:cs="宋体"/>
          <w:bCs/>
          <w:color w:val="auto"/>
          <w:sz w:val="24"/>
          <w:szCs w:val="24"/>
          <w:highlight w:val="none"/>
        </w:rPr>
        <w:outlineLvl w:val="2"/>
      </w:pPr>
      <w:r>
        <w:rPr>
          <w:rFonts w:hint="eastAsia" w:ascii="黑体" w:hAnsi="黑体" w:eastAsia="黑体" w:cs="黑体"/>
          <w:color w:val="auto"/>
          <w:sz w:val="24"/>
          <w:szCs w:val="24"/>
          <w:highlight w:val="none"/>
        </w:rPr>
        <w:t xml:space="preserve">★</w:t>
      </w:r>
      <w:r>
        <w:rPr>
          <w:rFonts w:hint="eastAsia" w:ascii="宋体" w:hAnsi="宋体" w:cs="宋体"/>
          <w:bCs/>
          <w:color w:val="auto"/>
          <w:sz w:val="24"/>
          <w:szCs w:val="24"/>
          <w:highlight w:val="none"/>
        </w:rPr>
        <w:t xml:space="preserve">（一）技术要求</w:t>
      </w:r>
      <w:r>
        <w:rPr>
          <w:color w:val="auto"/>
          <w:highlight w:val="none"/>
        </w:rPr>
      </w:r>
      <w:r/>
    </w:p>
    <w:p>
      <w:pPr>
        <w:pStyle w:val="873"/>
        <w:jc w:val="left"/>
        <w:keepLines w:val="0"/>
        <w:keepNext w:val="0"/>
        <w:widowControl/>
        <w:rPr>
          <w:rFonts w:hint="eastAsia" w:ascii="宋体" w:hAnsi="宋体" w:cs="宋体"/>
          <w:bCs/>
          <w:color w:val="auto"/>
          <w:sz w:val="24"/>
          <w:szCs w:val="24"/>
          <w:highlight w:val="none"/>
        </w:rPr>
        <w:suppressLineNumbers w:val="0"/>
      </w:pPr>
      <w:r>
        <w:rPr>
          <w:rFonts w:ascii="Times New Roman" w:hAnsi="Times New Roman" w:eastAsia="宋体" w:cs="Times New Roman"/>
          <w:color w:val="auto"/>
          <w:sz w:val="21"/>
          <w:szCs w:val="21"/>
          <w:highlight w:val="none"/>
          <w:lang w:val="en-US" w:eastAsia="zh-CN" w:bidi="ar"/>
        </w:rPr>
        <w:t xml:space="preserve">本项目所有绿化养护及配套服务，除严格达到《江苏省城市园林绿化养护管理规范及分级标准》规定的一级、二级、三级养护质量标准外，须全面落实以下专项服务事项、管护标准、安全规范及结算履约要求，全程实行标准化、精细化、常态化管护。</w:t>
      </w:r>
      <w:r>
        <w:rPr>
          <w:color w:val="auto"/>
          <w:highlight w:val="none"/>
        </w:rPr>
      </w:r>
      <w:r/>
    </w:p>
    <w:p>
      <w:pPr>
        <w:pStyle w:val="873"/>
        <w:spacing w:line="0" w:lineRule="atLeast"/>
        <w:rPr>
          <w:color w:val="auto"/>
          <w:highlight w:val="none"/>
        </w:rPr>
      </w:pPr>
      <w:r>
        <w:rPr>
          <w:rFonts w:hint="eastAsia" w:ascii="宋体" w:hAnsi="宋体" w:cs="宋体"/>
          <w:b/>
          <w:bCs/>
          <w:color w:val="auto"/>
          <w:spacing w:val="-1"/>
          <w:sz w:val="24"/>
          <w:szCs w:val="24"/>
          <w:highlight w:val="none"/>
        </w:rPr>
        <w:t xml:space="preserve">1.</w:t>
      </w:r>
      <w:r>
        <w:rPr>
          <w:rFonts w:hint="eastAsia" w:ascii="宋体" w:hAnsi="宋体" w:cs="宋体"/>
          <w:b/>
          <w:bCs/>
          <w:color w:val="auto"/>
          <w:spacing w:val="-1"/>
          <w:sz w:val="24"/>
          <w:szCs w:val="24"/>
          <w:highlight w:val="none"/>
          <w:lang w:eastAsia="zh-CN"/>
        </w:rPr>
        <w:t xml:space="preserve">六合经济开发区2026-2027年度二片区园林绿化养护项目</w:t>
      </w:r>
      <w:r>
        <w:rPr>
          <w:rFonts w:hint="eastAsia" w:ascii="宋体" w:hAnsi="宋体" w:cs="宋体"/>
          <w:b/>
          <w:bCs/>
          <w:color w:val="auto"/>
          <w:spacing w:val="-1"/>
          <w:sz w:val="24"/>
          <w:szCs w:val="24"/>
          <w:highlight w:val="none"/>
        </w:rPr>
        <w:t xml:space="preserve">（绿地养护及硬质景观设施维护管</w:t>
      </w:r>
      <w:r>
        <w:rPr>
          <w:rFonts w:hint="eastAsia" w:ascii="宋体" w:hAnsi="宋体" w:cs="宋体"/>
          <w:b/>
          <w:bCs/>
          <w:color w:val="auto"/>
          <w:spacing w:val="-1"/>
          <w:sz w:val="24"/>
          <w:szCs w:val="24"/>
          <w:highlight w:val="none"/>
        </w:rPr>
        <w:t xml:space="preserve">理服务部分）</w:t>
      </w:r>
      <w:r>
        <w:rPr>
          <w:color w:val="auto"/>
          <w:highlight w:val="none"/>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29"/>
      </w:tblGrid>
      <w:tr>
        <w:trPr>
          <w:trHeight w:val="1690"/>
        </w:trPr>
        <w:tc>
          <w:tcPr>
            <w:tcW w:w="10129" w:type="dxa"/>
            <w:vAlign w:val="top"/>
            <w:textDirection w:val="lrTb"/>
            <w:noWrap w:val="false"/>
          </w:tcPr>
          <w:p>
            <w:pPr>
              <w:pStyle w:val="873"/>
              <w:jc w:val="left"/>
              <w:keepLines w:val="0"/>
              <w:keepNext w:val="0"/>
              <w:spacing w:line="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本项</w:t>
            </w:r>
            <w:r>
              <w:rPr>
                <w:rFonts w:hint="eastAsia" w:ascii="宋体" w:hAnsi="宋体" w:eastAsia="宋体" w:cs="宋体"/>
                <w:color w:val="auto"/>
                <w:sz w:val="24"/>
                <w:szCs w:val="24"/>
                <w:highlight w:val="none"/>
                <w:lang w:val="en-US" w:eastAsia="zh-CN" w:bidi="ar"/>
              </w:rPr>
              <w:t xml:space="preserve">服务包含但不限于乔木养护、灌木及绿篱养护、草坪养护、水生植物养护、花境植物养护、全域设施管理、监控系统运维、绿道导视及地面涂装维护、控制箱彩绘维护等全部相关作业内容，具体标准如下：</w:t>
            </w:r>
            <w:r>
              <w:rPr>
                <w:color w:val="auto"/>
                <w:highlight w:val="none"/>
              </w:rPr>
            </w:r>
            <w:r/>
          </w:p>
          <w:p>
            <w:pPr>
              <w:pStyle w:val="873"/>
              <w:numPr>
                <w:ilvl w:val="0"/>
                <w:numId w:val="0"/>
              </w:numPr>
              <w:jc w:val="left"/>
              <w:spacing w:line="0" w:lineRule="atLeast"/>
              <w:widowControl/>
              <w:rPr>
                <w:rFonts w:hint="eastAsia" w:ascii="宋体" w:hAnsi="宋体" w:eastAsia="宋体" w:cs="宋体"/>
                <w:i w:val="0"/>
                <w:iCs w:val="0"/>
                <w:caps w:val="0"/>
                <w:color w:val="auto"/>
                <w:spacing w:val="0"/>
                <w:sz w:val="24"/>
                <w:szCs w:val="24"/>
                <w:highlight w:val="none"/>
                <w:shd w:val="clear" w:color="auto" w:fill="auto"/>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b/>
                <w:bCs/>
                <w:color w:val="auto"/>
                <w:sz w:val="24"/>
                <w:szCs w:val="24"/>
                <w:highlight w:val="none"/>
                <w:lang w:val="en-US" w:eastAsia="zh-CN"/>
              </w:rPr>
              <w:t xml:space="preserve">乔木养护</w:t>
            </w:r>
            <w:r>
              <w:rPr>
                <w:color w:val="auto"/>
                <w:highlight w:val="none"/>
              </w:rPr>
            </w:r>
            <w:r/>
          </w:p>
          <w:p>
            <w:pPr>
              <w:pStyle w:val="873"/>
              <w:jc w:val="left"/>
              <w:keepLines w:val="0"/>
              <w:keepNext w:val="0"/>
              <w:spacing w:line="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①</w:t>
            </w:r>
            <w:r>
              <w:rPr>
                <w:rStyle w:val="945"/>
                <w:rFonts w:hint="eastAsia" w:ascii="宋体" w:hAnsi="宋体" w:eastAsia="宋体" w:cs="宋体"/>
                <w:color w:val="auto"/>
                <w:sz w:val="24"/>
                <w:szCs w:val="24"/>
                <w:highlight w:val="none"/>
                <w:lang w:val="en-US" w:eastAsia="zh-CN" w:bidi="ar"/>
              </w:rPr>
              <w:t xml:space="preserve">修剪整形</w:t>
            </w:r>
            <w:r>
              <w:rPr>
                <w:rFonts w:hint="eastAsia" w:ascii="宋体" w:hAnsi="宋体" w:eastAsia="宋体" w:cs="宋体"/>
                <w:color w:val="auto"/>
                <w:sz w:val="24"/>
                <w:szCs w:val="24"/>
                <w:highlight w:val="none"/>
                <w:lang w:val="en-US" w:eastAsia="zh-CN" w:bidi="ar"/>
              </w:rPr>
              <w:t xml:space="preserve">：实行春秋冬常态化修剪管理，春季重点开展抹芽修剪</w:t>
            </w:r>
            <w:r>
              <w:rPr>
                <w:rFonts w:hint="eastAsia" w:ascii="宋体" w:hAnsi="宋体" w:eastAsia="宋体" w:cs="宋体"/>
                <w:color w:val="auto"/>
                <w:sz w:val="24"/>
                <w:szCs w:val="24"/>
                <w:highlight w:val="none"/>
                <w:lang w:val="en-US" w:eastAsia="zh-CN" w:bidi="ar"/>
              </w:rPr>
              <w:t xml:space="preserve">、提干疏枝整形，全面剪除下垂枝、萌芽枝、徒长枝、枯枝、断枝、病虫枝；冬季开展整体整形修剪，重点清理下垂枝、徒长枝、杂乱枝、交叉枝、断枝、病虫害枝，对长势过高、影响路段整齐度的树木开展断高修剪。全程保障树木无枯枝断枝，严格把控苗木枝条与强电电缆安全间距，规避安全隐患。银杏等主轴明显的树种，仅可疏枝，严禁短截主干及主枝；浅根性树木适度控制冠幅，增强抗风抗倒伏能力。所有修剪作业剪口须平滑规整，直径5cm以上截口必须封蜡或涂抹伤口愈合膏，做好防腐促愈处理。各类临时性、应急性修剪任务，须按采购人限时要求保质保量完成。</w:t>
            </w:r>
            <w:r>
              <w:rPr>
                <w:color w:val="auto"/>
                <w:highlight w:val="none"/>
              </w:rPr>
            </w:r>
            <w:r/>
          </w:p>
          <w:p>
            <w:pPr>
              <w:pStyle w:val="873"/>
              <w:jc w:val="left"/>
              <w:keepLines w:val="0"/>
              <w:keepNext w:val="0"/>
              <w:spacing w:line="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②</w:t>
            </w:r>
            <w:r>
              <w:rPr>
                <w:rStyle w:val="945"/>
                <w:rFonts w:hint="eastAsia" w:ascii="宋体" w:hAnsi="宋体" w:eastAsia="宋体" w:cs="宋体"/>
                <w:color w:val="auto"/>
                <w:sz w:val="24"/>
                <w:szCs w:val="24"/>
                <w:highlight w:val="none"/>
                <w:lang w:val="en-US" w:eastAsia="zh-CN" w:bidi="ar"/>
              </w:rPr>
              <w:t xml:space="preserve">补植更新</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rPr>
              <w:t xml:space="preserve">本项目由中标管养单位按照现场实际现状，全面承接绿化养护工</w:t>
            </w:r>
            <w:r>
              <w:rPr>
                <w:rFonts w:hint="eastAsia" w:ascii="宋体" w:hAnsi="宋体" w:eastAsia="宋体" w:cs="宋体"/>
                <w:color w:val="auto"/>
                <w:sz w:val="24"/>
                <w:szCs w:val="24"/>
                <w:highlight w:val="none"/>
              </w:rPr>
              <w:t xml:space="preserve">作。针对养护范围内枯死、生长态势不良、存在安全隐患的乔木，管养单位须第一时间完成清理、清运工作，并在苗木适宜种植季节开展补植作业。苗木补植应优先匹配原树种、原规格及同等长势标准；因景观优化、市场缺货等特殊情况需变更苗木品种的，必须提交申请并取得采购人正式批复，未经批准不得擅自更换。全域各类空置树坑、树穴须逐一整改、全部补植，杜绝空坑、空缺及土壤裸露现象，保障片区绿化景观效果连贯统一。本条款涉及的苗木移除、运输、新苗采购、栽植、后期养护等全部费用均包干计入投标报价，项目履约期间，采购人不另行支付任何额外费用。</w:t>
            </w:r>
            <w:r>
              <w:rPr>
                <w:color w:val="auto"/>
                <w:highlight w:val="none"/>
              </w:rPr>
            </w:r>
            <w:r/>
          </w:p>
          <w:p>
            <w:pPr>
              <w:pStyle w:val="873"/>
              <w:numPr>
                <w:ilvl w:val="0"/>
                <w:numId w:val="0"/>
              </w:numPr>
              <w:jc w:val="left"/>
              <w:spacing w:line="0" w:lineRule="atLeast"/>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灌木及绿篱养护</w:t>
            </w:r>
            <w:r>
              <w:rPr>
                <w:color w:val="auto"/>
                <w:highlight w:val="none"/>
              </w:rPr>
            </w:r>
            <w:r/>
          </w:p>
          <w:p>
            <w:pPr>
              <w:pStyle w:val="873"/>
              <w:jc w:val="left"/>
              <w:keepLines w:val="0"/>
              <w:keepNext w:val="0"/>
              <w:spacing w:line="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b/>
                <w:bCs/>
                <w:color w:val="auto"/>
                <w:sz w:val="24"/>
                <w:szCs w:val="24"/>
                <w:highlight w:val="none"/>
                <w:lang w:val="en-US" w:eastAsia="zh-CN"/>
              </w:rPr>
              <w:t xml:space="preserve">修剪：</w:t>
            </w:r>
            <w:r>
              <w:rPr>
                <w:rFonts w:hint="eastAsia" w:ascii="宋体" w:hAnsi="宋体" w:eastAsia="宋体" w:cs="宋体"/>
                <w:color w:val="auto"/>
                <w:sz w:val="24"/>
                <w:szCs w:val="24"/>
                <w:highlight w:val="none"/>
                <w:lang w:val="en-US" w:eastAsia="zh-CN" w:bidi="ar"/>
              </w:rPr>
              <w:t xml:space="preserve">常绿灌木保留自然丛生形态，定期疏除徒长枝、内膛细弱枝。观花灌木严格依据花芽分化规律差异化修剪。造型灌木、景观绿篱定期精细化修剪，保持轮廓清晰、线条规整；非观花造型灌木根据植物习性及实际需求进行修剪；绿篱修剪确保立面、顶面、侧面三面平整规整。</w:t>
            </w:r>
            <w:r>
              <w:rPr>
                <w:color w:val="auto"/>
                <w:highlight w:val="none"/>
              </w:rPr>
            </w:r>
            <w:r/>
          </w:p>
          <w:p>
            <w:pPr>
              <w:pStyle w:val="873"/>
              <w:numPr>
                <w:ilvl w:val="0"/>
                <w:numId w:val="0"/>
              </w:numPr>
              <w:jc w:val="left"/>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w:t>
            </w:r>
            <w:r>
              <w:rPr>
                <w:rFonts w:hint="eastAsia" w:ascii="宋体" w:hAnsi="宋体" w:eastAsia="宋体" w:cs="宋体"/>
                <w:b/>
                <w:bCs/>
                <w:color w:val="auto"/>
                <w:sz w:val="24"/>
                <w:szCs w:val="24"/>
                <w:highlight w:val="none"/>
                <w:lang w:val="en-US" w:eastAsia="zh-CN"/>
              </w:rPr>
              <w:t xml:space="preserve">清杂与松土：</w:t>
            </w:r>
            <w:r>
              <w:rPr>
                <w:rFonts w:hint="eastAsia" w:ascii="宋体" w:hAnsi="宋体" w:eastAsia="宋体" w:cs="宋体"/>
                <w:color w:val="auto"/>
                <w:sz w:val="24"/>
                <w:szCs w:val="24"/>
                <w:highlight w:val="none"/>
                <w:lang w:val="en-US" w:eastAsia="zh-CN"/>
              </w:rPr>
              <w:t xml:space="preserve">定期清理灌木丛内部枯枝、落叶及杂物垃圾，保证植株基部通风透光，从源头减少病虫害滋生，保持土壤疏松透气。</w:t>
            </w:r>
            <w:r>
              <w:rPr>
                <w:color w:val="auto"/>
                <w:highlight w:val="none"/>
              </w:rPr>
            </w:r>
            <w:r/>
          </w:p>
          <w:p>
            <w:pPr>
              <w:pStyle w:val="873"/>
              <w:jc w:val="left"/>
              <w:keepLines w:val="0"/>
              <w:keepNext w:val="0"/>
              <w:spacing w:line="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b/>
                <w:bCs/>
                <w:color w:val="auto"/>
                <w:sz w:val="24"/>
                <w:szCs w:val="24"/>
                <w:highlight w:val="none"/>
                <w:lang w:val="en-US" w:eastAsia="zh-CN"/>
              </w:rPr>
              <w:t xml:space="preserve">补植更新：</w:t>
            </w:r>
            <w:r>
              <w:rPr>
                <w:rFonts w:hint="eastAsia" w:ascii="宋体" w:hAnsi="宋体" w:eastAsia="宋体" w:cs="宋体"/>
                <w:color w:val="auto"/>
                <w:sz w:val="24"/>
                <w:szCs w:val="24"/>
                <w:highlight w:val="none"/>
              </w:rPr>
              <w:t xml:space="preserve">中标管养单位依据现场实际现状承接养护任务。安排专人定期巡检养护范围内灌木、绿篱，对枯死、生长严重衰弱、受病虫害侵染、失去观赏价值的植株，做到及时清理处置。同时接管后对绿植断带、空缺、稀疏及地表裸露区域，择适宜时节补植苗木，补植苗木须与原有品种、规格、长势保持一致；因特殊原因需变更苗木品种的，必须提交申请并取得采购人书面批复，严禁擅自更换。整体养护需达到绿篱线条规整、灌木组团景观饱满的标准。新补植苗木需精细化管护，通过浇水、遮阴等措施提升成活率，常态化开展成活检查，对死亡、</w:t>
            </w:r>
            <w:r>
              <w:rPr>
                <w:rFonts w:hint="eastAsia" w:ascii="宋体" w:hAnsi="宋体" w:eastAsia="宋体" w:cs="宋体"/>
                <w:color w:val="auto"/>
                <w:sz w:val="24"/>
                <w:szCs w:val="24"/>
                <w:highlight w:val="none"/>
                <w:lang w:val="en-US" w:eastAsia="zh-CN"/>
              </w:rPr>
              <w:t xml:space="preserve">退化、</w:t>
            </w:r>
            <w:r>
              <w:rPr>
                <w:rFonts w:hint="eastAsia" w:ascii="宋体" w:hAnsi="宋体" w:eastAsia="宋体" w:cs="宋体"/>
                <w:color w:val="auto"/>
                <w:sz w:val="24"/>
                <w:szCs w:val="24"/>
                <w:highlight w:val="none"/>
              </w:rPr>
              <w:t xml:space="preserve">长势不良苗木及时补种更换，保证区域植被覆盖率达标，无明显空缺。本条项下所有人工、材料、运输、养护、补苗换苗等全部费用，统一包含在投标人投标报价中，项目履约期间不再计取任何新增费用</w:t>
            </w:r>
            <w:r>
              <w:rPr>
                <w:color w:val="auto"/>
                <w:highlight w:val="none"/>
              </w:rPr>
            </w:r>
            <w:r/>
          </w:p>
          <w:p>
            <w:pPr>
              <w:pStyle w:val="873"/>
              <w:numPr>
                <w:ilvl w:val="0"/>
                <w:numId w:val="0"/>
              </w:numPr>
              <w:jc w:val="left"/>
              <w:spacing w:line="0" w:lineRule="atLeast"/>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en-US" w:eastAsia="zh-CN"/>
              </w:rPr>
              <w:t xml:space="preserve">草坪养护</w:t>
            </w:r>
            <w:r>
              <w:rPr>
                <w:color w:val="auto"/>
                <w:highlight w:val="none"/>
              </w:rPr>
            </w:r>
            <w:r/>
          </w:p>
          <w:p>
            <w:pPr>
              <w:pStyle w:val="873"/>
              <w:jc w:val="left"/>
              <w:keepLines w:val="0"/>
              <w:keepNext w:val="0"/>
              <w:spacing w:line="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①</w:t>
            </w:r>
            <w:r>
              <w:rPr>
                <w:rFonts w:hint="eastAsia" w:ascii="宋体" w:hAnsi="宋体" w:eastAsia="宋体" w:cs="宋体"/>
                <w:b/>
                <w:bCs/>
                <w:color w:val="auto"/>
                <w:sz w:val="24"/>
                <w:szCs w:val="24"/>
                <w:highlight w:val="none"/>
                <w:lang w:val="en-US" w:eastAsia="zh-CN"/>
              </w:rPr>
              <w:t xml:space="preserve">修剪管护：</w:t>
            </w:r>
            <w:r>
              <w:rPr>
                <w:rFonts w:hint="eastAsia" w:ascii="宋体" w:hAnsi="宋体" w:eastAsia="宋体" w:cs="宋体"/>
                <w:color w:val="auto"/>
                <w:sz w:val="24"/>
                <w:szCs w:val="24"/>
                <w:highlight w:val="none"/>
                <w:lang w:val="en-US" w:eastAsia="zh-CN" w:bidi="ar"/>
              </w:rPr>
              <w:t xml:space="preserve">对全域草坪实施精细化养护，日常草坪高度严格控制在5-8cm，草尖高度超过8cm须立即修剪。冬季及时全面修剪清理草坪枯草、枯层，消除消防安全隐患；若因枯草留存、修剪不及时引发火情、火灾、安全事故及相关舆情、经济损失，全部责任由中标人自行承担。</w:t>
            </w:r>
            <w:r>
              <w:rPr>
                <w:color w:val="auto"/>
                <w:highlight w:val="none"/>
              </w:rPr>
            </w:r>
            <w:r/>
          </w:p>
          <w:p>
            <w:pPr>
              <w:pStyle w:val="873"/>
              <w:jc w:val="left"/>
              <w:keepLines w:val="0"/>
              <w:keepNext w:val="0"/>
              <w:spacing w:line="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②</w:t>
            </w:r>
            <w:r>
              <w:rPr>
                <w:rFonts w:hint="eastAsia" w:ascii="宋体" w:hAnsi="宋体" w:eastAsia="宋体" w:cs="宋体"/>
                <w:b/>
                <w:bCs/>
                <w:color w:val="auto"/>
                <w:sz w:val="24"/>
                <w:szCs w:val="24"/>
                <w:highlight w:val="none"/>
                <w:lang w:val="en-US" w:eastAsia="zh-CN"/>
              </w:rPr>
              <w:t xml:space="preserve">水肥管护：</w:t>
            </w:r>
            <w:r>
              <w:rPr>
                <w:rFonts w:hint="eastAsia" w:ascii="宋体" w:hAnsi="宋体" w:eastAsia="宋体" w:cs="宋体"/>
                <w:color w:val="auto"/>
                <w:sz w:val="24"/>
                <w:szCs w:val="24"/>
                <w:highlight w:val="none"/>
                <w:lang w:val="en-US" w:eastAsia="zh-CN" w:bidi="ar"/>
              </w:rPr>
              <w:t xml:space="preserve">浇水遵循“见干见湿”原则，优先选择清晨或傍晚时段浇灌，规避高温浇水损伤草坪。早春、秋季各施用一次复合肥或专用草坪肥，夏季适量补施缓释肥，同步配合草坪打孔、覆沙作业，有效疏松土壤、改善土壤透气性，保障草坪长势健壮。</w:t>
            </w:r>
            <w:r>
              <w:rPr>
                <w:color w:val="auto"/>
                <w:highlight w:val="none"/>
              </w:rPr>
            </w:r>
            <w:r/>
          </w:p>
          <w:p>
            <w:pPr>
              <w:pStyle w:val="873"/>
              <w:jc w:val="left"/>
              <w:keepLines w:val="0"/>
              <w:keepNext w:val="0"/>
              <w:spacing w:line="0" w:lineRule="atLeast"/>
              <w:widowControl/>
              <w:rPr>
                <w:rFonts w:hint="eastAsia" w:ascii="宋体" w:hAnsi="宋体" w:eastAsia="宋体" w:cs="宋体"/>
                <w:i w:val="0"/>
                <w:iCs w:val="0"/>
                <w:caps w:val="0"/>
                <w:color w:val="auto"/>
                <w:spacing w:val="0"/>
                <w:sz w:val="24"/>
                <w:szCs w:val="24"/>
                <w:highlight w:val="none"/>
                <w:shd w:val="clear" w:color="auto" w:fill="auto"/>
              </w:rPr>
              <w:suppressLineNumbers w:val="0"/>
            </w:pPr>
            <w:r>
              <w:rPr>
                <w:rFonts w:hint="eastAsia" w:ascii="宋体" w:hAnsi="宋体" w:eastAsia="宋体" w:cs="宋体"/>
                <w:color w:val="auto"/>
                <w:sz w:val="24"/>
                <w:szCs w:val="24"/>
                <w:highlight w:val="none"/>
                <w:lang w:val="en-US" w:eastAsia="zh-CN" w:bidi="ar"/>
              </w:rPr>
              <w:t xml:space="preserve">③</w:t>
            </w:r>
            <w:r>
              <w:rPr>
                <w:rFonts w:hint="eastAsia" w:ascii="宋体" w:hAnsi="宋体" w:eastAsia="宋体" w:cs="宋体"/>
                <w:b/>
                <w:bCs/>
                <w:color w:val="auto"/>
                <w:sz w:val="24"/>
                <w:szCs w:val="24"/>
                <w:highlight w:val="none"/>
                <w:lang w:val="en-US" w:eastAsia="zh-CN"/>
              </w:rPr>
              <w:t xml:space="preserve">除杂与补植养护：</w:t>
            </w:r>
            <w:r>
              <w:rPr>
                <w:rFonts w:hint="eastAsia" w:ascii="宋体" w:hAnsi="宋体" w:eastAsia="宋体" w:cs="宋体"/>
                <w:color w:val="auto"/>
                <w:sz w:val="24"/>
                <w:szCs w:val="24"/>
                <w:highlight w:val="none"/>
                <w:lang w:val="en-US" w:eastAsia="zh-CN" w:bidi="ar"/>
              </w:rPr>
              <w:t xml:space="preserve">采用人工拔除或选择性药剂除草方式，常态化清除草坪杂草及杂物垃圾。秋季适宜气温时段，草坪修剪后撒播</w:t>
            </w:r>
            <w:r>
              <w:rPr>
                <w:rFonts w:hint="eastAsia" w:ascii="宋体" w:hAnsi="宋体" w:eastAsia="宋体" w:cs="宋体"/>
                <w:color w:val="auto"/>
                <w:sz w:val="24"/>
                <w:szCs w:val="24"/>
                <w:highlight w:val="none"/>
                <w:lang w:val="en-US" w:eastAsia="zh-CN" w:bidi="ar"/>
              </w:rPr>
              <w:t xml:space="preserve">多年生黑麦草草籽，精细养护至正常发芽生长，发芽率不低于98%，并按规范定期修剪；每年3月下旬，对草坪长势薄弱、缺损地块补播狗牙根或四季青草籽并养护成活、规范修剪，如需更换草籽品种，须报请采购方审批同意后方可实施。定期巡查草坪状态，及时处置斑秃、退化、枯死、稀疏裸露地块，小面积缺损以补播草籽修复，大面积缺损区域采用同品种、同色泽、同高度成品草皮补植铺设。补植前平整场地、清理杂物、疏松土壤，确保铺设平整、接缝严密、无高低落差，铺设后及时压实浇水、覆膜保墒，配套做好遮阴养护工作，保障全域草坪密实均匀、无黄土裸露。</w:t>
            </w:r>
            <w:r>
              <w:rPr>
                <w:color w:val="auto"/>
                <w:highlight w:val="none"/>
              </w:rPr>
            </w:r>
            <w:r/>
          </w:p>
          <w:p>
            <w:pPr>
              <w:pStyle w:val="873"/>
              <w:numPr>
                <w:ilvl w:val="0"/>
                <w:numId w:val="0"/>
              </w:numPr>
              <w:jc w:val="left"/>
              <w:keepLines w:val="0"/>
              <w:keepNext w:val="0"/>
              <w:spacing w:line="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bidi="ar-SA"/>
              </w:rPr>
              <w:t xml:space="preserve">（4）</w:t>
            </w:r>
            <w:r>
              <w:rPr>
                <w:rFonts w:hint="eastAsia" w:ascii="宋体" w:hAnsi="宋体" w:eastAsia="宋体" w:cs="宋体"/>
                <w:b/>
                <w:bCs/>
                <w:color w:val="auto"/>
                <w:sz w:val="24"/>
                <w:szCs w:val="24"/>
                <w:highlight w:val="none"/>
                <w:lang w:val="en-US" w:eastAsia="zh-CN"/>
              </w:rPr>
              <w:t xml:space="preserve">水生景观植物养护：</w:t>
            </w:r>
            <w:r>
              <w:rPr>
                <w:rFonts w:hint="eastAsia" w:ascii="宋体" w:hAnsi="宋体" w:eastAsia="宋体" w:cs="宋体"/>
                <w:color w:val="auto"/>
                <w:sz w:val="24"/>
                <w:szCs w:val="24"/>
                <w:highlight w:val="none"/>
                <w:lang w:val="en-US" w:eastAsia="zh-CN" w:bidi="ar"/>
              </w:rPr>
              <w:t xml:space="preserve">项目管护范围内</w:t>
            </w:r>
            <w:r>
              <w:rPr>
                <w:rStyle w:val="883"/>
                <w:rFonts w:hint="eastAsia" w:ascii="宋体" w:hAnsi="宋体" w:eastAsia="宋体" w:cs="宋体"/>
                <w:b w:val="0"/>
                <w:bCs w:val="0"/>
                <w:color w:val="auto"/>
                <w:sz w:val="24"/>
                <w:szCs w:val="24"/>
                <w:highlight w:val="none"/>
                <w:lang w:val="en-US" w:eastAsia="zh-CN" w:bidi="ar"/>
              </w:rPr>
              <w:t xml:space="preserve">河道水域内水生景观植物、河道岸边及岸坡</w:t>
            </w:r>
            <w:r>
              <w:rPr>
                <w:rFonts w:hint="eastAsia" w:ascii="宋体" w:hAnsi="宋体" w:eastAsia="宋体" w:cs="宋体"/>
                <w:b w:val="0"/>
                <w:bCs w:val="0"/>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作业内容：常态化清理养护区域内垃圾、杂物、藤蔓、杂草；全年开展水生景观植物疏剪、定高、防扩散拔除、杂生清理、枯枝割除；同步做好全域岸坡绿地常态化养护。</w:t>
            </w:r>
            <w:r>
              <w:rPr>
                <w:color w:val="auto"/>
                <w:highlight w:val="none"/>
              </w:rPr>
            </w:r>
            <w:r/>
          </w:p>
          <w:p>
            <w:pPr>
              <w:pStyle w:val="873"/>
              <w:jc w:val="left"/>
              <w:keepLines w:val="0"/>
              <w:keepNext w:val="0"/>
              <w:spacing w:line="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水域作业须配备专用保洁船，作业人员必须穿戴防水皮裤、救生衣且具备游泳技能，现场配置专职安全员、救生人员，全程落实安全防护措施。因水生景观植物养护不及时、枯枝杂草堆积引发火灾、落水事故、安全隐患及负面舆情、经济损失，全部法律责任、经济赔偿责任由中标人自行承担。</w:t>
            </w:r>
            <w:r>
              <w:rPr>
                <w:color w:val="auto"/>
                <w:highlight w:val="none"/>
              </w:rPr>
            </w:r>
            <w:r/>
          </w:p>
          <w:p>
            <w:pPr>
              <w:pStyle w:val="873"/>
              <w:numPr>
                <w:ilvl w:val="0"/>
                <w:numId w:val="0"/>
              </w:numPr>
              <w:jc w:val="left"/>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花镜植物养护：</w:t>
            </w:r>
            <w:r>
              <w:rPr>
                <w:rFonts w:hint="eastAsia" w:ascii="宋体" w:hAnsi="宋体" w:eastAsia="宋体" w:cs="宋体"/>
                <w:color w:val="auto"/>
                <w:sz w:val="24"/>
                <w:szCs w:val="24"/>
                <w:highlight w:val="none"/>
              </w:rPr>
              <w:t xml:space="preserve">花镜内的乔灌木、小灌木、地被、</w:t>
            </w:r>
            <w:r>
              <w:rPr>
                <w:rFonts w:hint="eastAsia" w:ascii="宋体" w:hAnsi="宋体" w:eastAsia="宋体" w:cs="宋体"/>
                <w:color w:val="auto"/>
                <w:sz w:val="24"/>
                <w:szCs w:val="24"/>
                <w:highlight w:val="none"/>
                <w:lang w:val="en-US" w:eastAsia="zh-CN"/>
              </w:rPr>
              <w:t xml:space="preserve">一年生或多年生</w:t>
            </w:r>
            <w:r>
              <w:rPr>
                <w:rFonts w:hint="eastAsia" w:ascii="宋体" w:hAnsi="宋体" w:eastAsia="宋体" w:cs="宋体"/>
                <w:color w:val="auto"/>
                <w:sz w:val="24"/>
                <w:szCs w:val="24"/>
                <w:highlight w:val="none"/>
              </w:rPr>
              <w:t xml:space="preserve">花卉等植物的养护管理及死亡更换。具体</w:t>
            </w:r>
            <w:r>
              <w:rPr>
                <w:rFonts w:hint="eastAsia" w:ascii="宋体" w:hAnsi="宋体" w:eastAsia="宋体" w:cs="宋体"/>
                <w:color w:val="auto"/>
                <w:sz w:val="24"/>
                <w:szCs w:val="24"/>
                <w:highlight w:val="none"/>
                <w:lang w:val="en-US" w:eastAsia="zh-CN"/>
              </w:rPr>
              <w:t xml:space="preserve">要求</w:t>
            </w:r>
            <w:r>
              <w:rPr>
                <w:rFonts w:hint="eastAsia" w:ascii="宋体" w:hAnsi="宋体" w:eastAsia="宋体" w:cs="宋体"/>
                <w:color w:val="auto"/>
                <w:sz w:val="24"/>
                <w:szCs w:val="24"/>
                <w:highlight w:val="none"/>
              </w:rPr>
              <w:t xml:space="preserve">如下：</w:t>
            </w:r>
            <w:r>
              <w:rPr>
                <w:color w:val="auto"/>
                <w:highlight w:val="none"/>
              </w:rPr>
            </w:r>
            <w:r/>
          </w:p>
          <w:p>
            <w:pPr>
              <w:pStyle w:val="873"/>
              <w:numPr>
                <w:ilvl w:val="0"/>
                <w:numId w:val="0"/>
              </w:numPr>
              <w:jc w:val="left"/>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①</w:t>
            </w:r>
            <w:r>
              <w:rPr>
                <w:rFonts w:hint="eastAsia" w:ascii="宋体" w:hAnsi="宋体" w:eastAsia="宋体" w:cs="宋体"/>
                <w:b/>
                <w:bCs/>
                <w:color w:val="auto"/>
                <w:sz w:val="24"/>
                <w:szCs w:val="24"/>
                <w:highlight w:val="none"/>
                <w:lang w:val="en-US" w:eastAsia="zh-CN"/>
              </w:rPr>
              <w:t xml:space="preserve">日常管护：</w:t>
            </w:r>
            <w:r>
              <w:rPr>
                <w:rFonts w:hint="eastAsia" w:ascii="宋体" w:hAnsi="宋体" w:eastAsia="宋体" w:cs="宋体"/>
                <w:color w:val="auto"/>
                <w:sz w:val="24"/>
                <w:szCs w:val="24"/>
                <w:highlight w:val="none"/>
                <w:lang w:val="en-US" w:eastAsia="zh-CN" w:bidi="ar"/>
              </w:rPr>
              <w:t xml:space="preserve">定期清理枯枝残花，减少养分消耗；疏剪过密枝叶，改善通风透光条件；对倒伏、蔓生植物做好支撑、修剪、牵引塑形，保持景观规整。</w:t>
            </w:r>
            <w:r>
              <w:rPr>
                <w:color w:val="auto"/>
                <w:highlight w:val="none"/>
              </w:rPr>
            </w:r>
            <w:r/>
          </w:p>
          <w:p>
            <w:pPr>
              <w:pStyle w:val="873"/>
              <w:numPr>
                <w:ilvl w:val="0"/>
                <w:numId w:val="0"/>
              </w:numPr>
              <w:jc w:val="left"/>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②</w:t>
            </w:r>
            <w:r>
              <w:rPr>
                <w:rFonts w:hint="eastAsia" w:ascii="宋体" w:hAnsi="宋体" w:eastAsia="宋体" w:cs="宋体"/>
                <w:b/>
                <w:bCs/>
                <w:color w:val="auto"/>
                <w:sz w:val="24"/>
                <w:szCs w:val="24"/>
                <w:highlight w:val="none"/>
                <w:lang w:val="en-US" w:eastAsia="zh-CN"/>
              </w:rPr>
              <w:t xml:space="preserve">季节性修剪：</w:t>
            </w:r>
            <w:r>
              <w:rPr>
                <w:rFonts w:hint="eastAsia" w:ascii="宋体" w:hAnsi="宋体" w:eastAsia="宋体" w:cs="宋体"/>
                <w:color w:val="auto"/>
                <w:sz w:val="24"/>
                <w:szCs w:val="24"/>
                <w:highlight w:val="none"/>
              </w:rPr>
              <w:t xml:space="preserve">冬季禁止多年生草本</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bidi="ar"/>
              </w:rPr>
              <w:t xml:space="preserve">宿根花卉</w:t>
            </w:r>
            <w:r>
              <w:rPr>
                <w:rFonts w:hint="eastAsia" w:ascii="宋体" w:hAnsi="宋体" w:eastAsia="宋体" w:cs="宋体"/>
                <w:color w:val="auto"/>
                <w:sz w:val="24"/>
                <w:szCs w:val="24"/>
                <w:highlight w:val="none"/>
              </w:rPr>
              <w:t xml:space="preserve">齐地修剪，统一保留基部5–10cm残茬越冬，待次年早春回暖后再清理残体，防范低温冻害</w:t>
            </w:r>
            <w:r>
              <w:rPr>
                <w:rFonts w:hint="eastAsia" w:ascii="宋体" w:hAnsi="宋体" w:eastAsia="宋体" w:cs="宋体"/>
                <w:color w:val="auto"/>
                <w:sz w:val="24"/>
                <w:szCs w:val="24"/>
                <w:highlight w:val="none"/>
                <w:lang w:val="en-US" w:eastAsia="zh-CN" w:bidi="ar"/>
              </w:rPr>
              <w:t xml:space="preserve">；结合不同植物习性差异化修剪。</w:t>
            </w:r>
            <w:r>
              <w:rPr>
                <w:color w:val="auto"/>
                <w:highlight w:val="none"/>
              </w:rPr>
            </w:r>
            <w:r/>
          </w:p>
          <w:p>
            <w:pPr>
              <w:pStyle w:val="873"/>
              <w:numPr>
                <w:ilvl w:val="0"/>
                <w:numId w:val="0"/>
              </w:numPr>
              <w:jc w:val="left"/>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③</w:t>
            </w:r>
            <w:r>
              <w:rPr>
                <w:rFonts w:hint="eastAsia" w:ascii="宋体" w:hAnsi="宋体" w:eastAsia="宋体" w:cs="宋体"/>
                <w:b/>
                <w:bCs/>
                <w:color w:val="auto"/>
                <w:sz w:val="24"/>
                <w:szCs w:val="24"/>
                <w:highlight w:val="none"/>
                <w:lang w:val="en-US" w:eastAsia="zh-CN"/>
              </w:rPr>
              <w:t xml:space="preserve">土壤管护：</w:t>
            </w:r>
            <w:r>
              <w:rPr>
                <w:rFonts w:hint="eastAsia" w:ascii="宋体" w:hAnsi="宋体" w:eastAsia="宋体" w:cs="宋体"/>
                <w:color w:val="auto"/>
                <w:sz w:val="24"/>
                <w:szCs w:val="24"/>
                <w:highlight w:val="none"/>
                <w:lang w:val="en-US" w:eastAsia="zh-CN" w:bidi="ar"/>
              </w:rPr>
              <w:t xml:space="preserve">春秋季浅耕松土（深度3-5cm），避免损伤植物根系；每年秋季可适量掺入腐叶土、椰糠（占比10%-20%）改良土壤；对侵略性强的植物预埋深度30cm以上隔离板管控根系。</w:t>
            </w:r>
            <w:r>
              <w:rPr>
                <w:color w:val="auto"/>
                <w:highlight w:val="none"/>
              </w:rPr>
            </w:r>
            <w:r/>
          </w:p>
          <w:p>
            <w:pPr>
              <w:pStyle w:val="873"/>
              <w:numPr>
                <w:ilvl w:val="0"/>
                <w:numId w:val="0"/>
              </w:numPr>
              <w:jc w:val="left"/>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④</w:t>
            </w:r>
            <w:r>
              <w:rPr>
                <w:rFonts w:hint="eastAsia" w:ascii="宋体" w:hAnsi="宋体" w:eastAsia="宋体" w:cs="宋体"/>
                <w:b/>
                <w:bCs/>
                <w:color w:val="auto"/>
                <w:sz w:val="24"/>
                <w:szCs w:val="24"/>
                <w:highlight w:val="none"/>
                <w:lang w:val="en-US" w:eastAsia="zh-CN"/>
              </w:rPr>
              <w:t xml:space="preserve">防寒防风：</w:t>
            </w:r>
            <w:r>
              <w:rPr>
                <w:rFonts w:hint="eastAsia" w:ascii="宋体" w:hAnsi="宋体" w:eastAsia="宋体" w:cs="宋体"/>
                <w:color w:val="auto"/>
                <w:sz w:val="24"/>
                <w:szCs w:val="24"/>
                <w:highlight w:val="none"/>
                <w:lang w:val="en-US" w:eastAsia="zh-CN" w:bidi="ar"/>
              </w:rPr>
              <w:t xml:space="preserve">对不耐寒植物做好根部堆土、无纺布包裹防护；高大灌木设置防风障，防范风干抽条；及时清理常绿植物枝叶积雪，避免枝条压断。</w:t>
            </w:r>
            <w:r>
              <w:rPr>
                <w:color w:val="auto"/>
                <w:highlight w:val="none"/>
              </w:rPr>
            </w:r>
            <w:r/>
          </w:p>
          <w:p>
            <w:pPr>
              <w:pStyle w:val="873"/>
              <w:numPr>
                <w:ilvl w:val="0"/>
                <w:numId w:val="0"/>
              </w:numPr>
              <w:jc w:val="left"/>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⑤</w:t>
            </w:r>
            <w:r>
              <w:rPr>
                <w:rFonts w:hint="eastAsia" w:ascii="宋体" w:hAnsi="宋体" w:eastAsia="宋体" w:cs="宋体"/>
                <w:b/>
                <w:bCs/>
                <w:color w:val="auto"/>
                <w:sz w:val="24"/>
                <w:szCs w:val="24"/>
                <w:highlight w:val="none"/>
                <w:lang w:val="en-US" w:eastAsia="zh-CN"/>
              </w:rPr>
              <w:t xml:space="preserve">复壮更新：</w:t>
            </w:r>
            <w:r>
              <w:rPr>
                <w:rFonts w:hint="eastAsia" w:ascii="宋体" w:hAnsi="宋体" w:eastAsia="宋体" w:cs="宋体"/>
                <w:color w:val="auto"/>
                <w:sz w:val="24"/>
                <w:szCs w:val="24"/>
                <w:highlight w:val="none"/>
                <w:lang w:val="en-US" w:eastAsia="zh-CN" w:bidi="ar"/>
              </w:rPr>
              <w:t xml:space="preserve">根据生长状态对宿根植物分株，清除老化根茎；及时更换、补植长势不良、冻伤、枯死植株，保障花镜景观连续性。</w:t>
            </w:r>
            <w:r>
              <w:rPr>
                <w:color w:val="auto"/>
                <w:highlight w:val="none"/>
              </w:rPr>
            </w:r>
            <w:r/>
          </w:p>
          <w:p>
            <w:pPr>
              <w:pStyle w:val="873"/>
              <w:numPr>
                <w:ilvl w:val="0"/>
                <w:numId w:val="0"/>
              </w:numPr>
              <w:jc w:val="left"/>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⑥</w:t>
            </w:r>
            <w:r>
              <w:rPr>
                <w:rFonts w:hint="eastAsia" w:ascii="宋体" w:hAnsi="宋体" w:eastAsia="宋体" w:cs="宋体"/>
                <w:b/>
                <w:bCs/>
                <w:color w:val="auto"/>
                <w:sz w:val="24"/>
                <w:szCs w:val="24"/>
                <w:highlight w:val="none"/>
                <w:lang w:val="en-US" w:eastAsia="zh-CN"/>
              </w:rPr>
              <w:t xml:space="preserve">更换补植：</w:t>
            </w:r>
            <w:r>
              <w:rPr>
                <w:rFonts w:hint="eastAsia" w:ascii="宋体" w:hAnsi="宋体" w:eastAsia="宋体" w:cs="宋体"/>
                <w:color w:val="auto"/>
                <w:sz w:val="24"/>
                <w:szCs w:val="24"/>
                <w:highlight w:val="none"/>
                <w:lang w:val="en-US" w:eastAsia="zh-CN" w:bidi="ar"/>
              </w:rPr>
              <w:t xml:space="preserve">花镜植物出现退化、枯萎、死亡、长势不良等问题，中标人须无条件及时更换补植。</w:t>
            </w:r>
            <w:r>
              <w:rPr>
                <w:color w:val="auto"/>
                <w:highlight w:val="none"/>
              </w:rPr>
            </w:r>
            <w:r/>
          </w:p>
          <w:p>
            <w:pPr>
              <w:pStyle w:val="873"/>
              <w:jc w:val="left"/>
              <w:keepLines w:val="0"/>
              <w:keepNext w:val="0"/>
              <w:spacing w:line="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⑦</w:t>
            </w:r>
            <w:r>
              <w:rPr>
                <w:rFonts w:hint="eastAsia" w:ascii="宋体" w:hAnsi="宋体" w:eastAsia="宋体" w:cs="宋体"/>
                <w:b/>
                <w:bCs/>
                <w:color w:val="auto"/>
                <w:sz w:val="24"/>
                <w:szCs w:val="24"/>
                <w:highlight w:val="none"/>
                <w:lang w:val="en-US" w:eastAsia="zh-CN"/>
              </w:rPr>
              <w:t xml:space="preserve">景观调控：</w:t>
            </w:r>
            <w:r>
              <w:rPr>
                <w:rFonts w:hint="eastAsia" w:ascii="宋体" w:hAnsi="宋体" w:eastAsia="宋体" w:cs="宋体"/>
                <w:color w:val="auto"/>
                <w:sz w:val="24"/>
                <w:szCs w:val="24"/>
                <w:highlight w:val="none"/>
                <w:lang w:val="en-US" w:eastAsia="zh-CN" w:bidi="ar"/>
              </w:rPr>
              <w:t xml:space="preserve">按需调整植物品类，优化季相色彩；通过摘心、修枝调控花期，提升景观效果；养护作业规避机械损伤植物根茎。</w:t>
            </w:r>
            <w:r>
              <w:rPr>
                <w:color w:val="auto"/>
                <w:highlight w:val="none"/>
              </w:rPr>
            </w:r>
            <w:r/>
          </w:p>
          <w:p>
            <w:pPr>
              <w:pStyle w:val="873"/>
              <w:jc w:val="left"/>
              <w:keepLines w:val="0"/>
              <w:keepNext w:val="0"/>
              <w:spacing w:line="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观花、观果、观叶、果树及药用类苗木保护及摘除：</w:t>
            </w:r>
            <w:r>
              <w:rPr>
                <w:rFonts w:hint="eastAsia" w:ascii="宋体" w:hAnsi="宋体" w:eastAsia="宋体" w:cs="宋体"/>
                <w:color w:val="auto"/>
                <w:sz w:val="24"/>
                <w:szCs w:val="24"/>
                <w:highlight w:val="none"/>
                <w:lang w:val="en-US" w:eastAsia="zh-CN" w:bidi="ar"/>
              </w:rPr>
              <w:t xml:space="preserve">常态化巡查看护全域观花、观果、观叶、果树及药用类苗木，及时劝阻、制止市民采摘、损毁苗木行为，防范人为破坏影响苗木生长及景观效果。定期巡查苗木状态，及时摘除苗木上带毒、携带病虫害、腐烂变质的果实，彻底杜绝病虫害滋生传播，保障苗木健康生长、长势优良。</w:t>
            </w:r>
            <w:r>
              <w:rPr>
                <w:color w:val="auto"/>
                <w:highlight w:val="none"/>
              </w:rPr>
            </w:r>
            <w:r/>
          </w:p>
          <w:p>
            <w:pPr>
              <w:pStyle w:val="873"/>
              <w:jc w:val="left"/>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绿化隔离带喷水除尘：</w:t>
            </w:r>
            <w:r>
              <w:rPr>
                <w:rFonts w:hint="eastAsia" w:ascii="宋体" w:hAnsi="宋体" w:eastAsia="宋体" w:cs="宋体"/>
                <w:color w:val="auto"/>
                <w:sz w:val="24"/>
                <w:szCs w:val="24"/>
                <w:highlight w:val="none"/>
                <w:lang w:val="en-US" w:eastAsia="zh-CN" w:bidi="ar"/>
              </w:rPr>
              <w:t xml:space="preserve">采用洒水车辆对绿化带苗木定期喷水除尘，清除叶面浮尘，保持苗木叶面干净光鲜。</w:t>
            </w:r>
            <w:r>
              <w:rPr>
                <w:color w:val="auto"/>
                <w:highlight w:val="none"/>
              </w:rPr>
            </w:r>
            <w:r/>
          </w:p>
          <w:p>
            <w:pPr>
              <w:pStyle w:val="873"/>
              <w:jc w:val="left"/>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（8）</w:t>
            </w:r>
            <w:r>
              <w:rPr>
                <w:rFonts w:hint="eastAsia" w:ascii="宋体" w:hAnsi="宋体" w:eastAsia="宋体" w:cs="宋体"/>
                <w:b/>
                <w:bCs/>
                <w:color w:val="auto"/>
                <w:sz w:val="24"/>
                <w:szCs w:val="24"/>
                <w:highlight w:val="none"/>
                <w:lang w:val="en-US" w:eastAsia="zh-CN"/>
              </w:rPr>
              <w:t xml:space="preserve">边界沟及树围修整：</w:t>
            </w:r>
            <w:r>
              <w:rPr>
                <w:rFonts w:hint="eastAsia" w:ascii="宋体" w:hAnsi="宋体" w:eastAsia="宋体" w:cs="宋体"/>
                <w:color w:val="auto"/>
                <w:sz w:val="24"/>
                <w:szCs w:val="24"/>
                <w:highlight w:val="none"/>
                <w:lang w:val="en-US" w:eastAsia="zh-CN" w:bidi="ar"/>
              </w:rPr>
              <w:t xml:space="preserve">定期修整色块小灌木与草坪接壤处的边界沟，保证线条圆润美观；规整树围造型，确保树围形态正圆、整洁美观。</w:t>
            </w:r>
            <w:r>
              <w:rPr>
                <w:color w:val="auto"/>
                <w:highlight w:val="none"/>
              </w:rPr>
            </w:r>
            <w:r/>
          </w:p>
          <w:p>
            <w:pPr>
              <w:pStyle w:val="873"/>
              <w:jc w:val="left"/>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按国家、省、市、区及采购人规定的相关要求做好一枝黄花等外来侵袭物种的巡查、上报及清除工作。</w:t>
            </w:r>
            <w:r>
              <w:rPr>
                <w:color w:val="auto"/>
                <w:highlight w:val="none"/>
              </w:rPr>
            </w:r>
            <w:r/>
          </w:p>
          <w:p>
            <w:pPr>
              <w:pStyle w:val="873"/>
              <w:jc w:val="left"/>
              <w:keepLines w:val="0"/>
              <w:keepNext w:val="0"/>
              <w:spacing w:line="0" w:lineRule="atLeast"/>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（10</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设施管理：</w:t>
            </w:r>
            <w:r>
              <w:rPr>
                <w:rFonts w:hint="eastAsia" w:ascii="宋体" w:hAnsi="宋体" w:eastAsia="宋体" w:cs="宋体"/>
                <w:b w:val="0"/>
                <w:bCs w:val="0"/>
                <w:color w:val="auto"/>
                <w:sz w:val="24"/>
                <w:szCs w:val="24"/>
                <w:highlight w:val="none"/>
                <w:lang w:val="en-US" w:eastAsia="zh-CN" w:bidi="ar"/>
              </w:rPr>
              <w:t xml:space="preserve">常态化开展设施巡查，对养护范围内各类景观、公共设施定期维保，发现破损、缺失、隐患及时上报采购人并完成维修、更换、出新等；</w:t>
            </w:r>
            <w:r>
              <w:rPr>
                <w:rFonts w:hint="eastAsia" w:ascii="宋体" w:hAnsi="宋体" w:eastAsia="宋体" w:cs="宋体"/>
                <w:b/>
                <w:bCs/>
                <w:color w:val="auto"/>
                <w:sz w:val="24"/>
                <w:szCs w:val="24"/>
                <w:highlight w:val="none"/>
                <w:lang w:val="en-US" w:eastAsia="zh-CN"/>
              </w:rPr>
              <w:t xml:space="preserve">景观亭、廊架、木平台每年开展一次油漆保养；中标人须对养护范围内木平台、木质景墙、木坐凳、景观灯等易损易耗品进行全面更换；对养护范围内园路、广场及铺装，亭、廊、花架等构建筑物，座椅、标识牌、雕塑等小品，各类围栏、护栏等景观及公共设施面层进行全面出新，合同养护周期内至少实施一次，全面保障设施外观及使用功能达标。</w:t>
            </w:r>
            <w:r>
              <w:rPr>
                <w:rFonts w:hint="eastAsia" w:ascii="宋体" w:hAnsi="宋体" w:eastAsia="宋体" w:cs="宋体"/>
                <w:b w:val="0"/>
                <w:bCs w:val="0"/>
                <w:color w:val="auto"/>
                <w:sz w:val="24"/>
                <w:szCs w:val="24"/>
                <w:highlight w:val="none"/>
                <w:lang w:val="en-US" w:eastAsia="zh-CN" w:bidi="ar"/>
              </w:rPr>
              <w:t xml:space="preserve">所有设施维保不到位引发的舆情、安全事故及相关法律、经济责任，均由中标人自行承担。具体分类管护要求如下：</w:t>
            </w:r>
            <w:r>
              <w:rPr>
                <w:color w:val="auto"/>
                <w:highlight w:val="none"/>
              </w:rPr>
            </w:r>
            <w:r/>
          </w:p>
          <w:p>
            <w:pPr>
              <w:pStyle w:val="873"/>
              <w:ind w:firstLine="0"/>
              <w:jc w:val="left"/>
              <w:keepLines w:val="0"/>
              <w:keepNext w:val="0"/>
              <w:spacing w:line="0" w:lineRule="atLeast"/>
              <w:widowControl/>
              <w:rPr>
                <w:rFonts w:hint="eastAsia" w:ascii="宋体" w:hAnsi="宋体" w:eastAsia="宋体" w:cs="宋体"/>
                <w:b w:val="0"/>
                <w:bCs w:val="0"/>
                <w:color w:val="auto"/>
                <w:sz w:val="24"/>
                <w:szCs w:val="24"/>
                <w:highlight w:val="none"/>
              </w:rPr>
              <w:suppressLineNumbers w:val="0"/>
            </w:pPr>
            <w:r>
              <w:rPr>
                <w:color w:val="auto"/>
                <w:highlight w:val="none"/>
              </w:rPr>
            </w:r>
            <w:bookmarkStart w:id="194" w:name="heading_23"/>
            <w:r>
              <w:rPr>
                <w:rFonts w:hint="eastAsia" w:ascii="宋体" w:hAnsi="宋体" w:eastAsia="宋体" w:cs="宋体"/>
                <w:b w:val="0"/>
                <w:bCs w:val="0"/>
                <w:color w:val="auto"/>
                <w:sz w:val="24"/>
                <w:szCs w:val="24"/>
                <w:highlight w:val="none"/>
              </w:rPr>
              <w:t xml:space="preserve">①</w:t>
            </w:r>
            <w:r>
              <w:rPr>
                <w:rFonts w:hint="eastAsia" w:ascii="宋体" w:hAnsi="宋体" w:eastAsia="宋体" w:cs="宋体"/>
                <w:b/>
                <w:bCs/>
                <w:color w:val="auto"/>
                <w:sz w:val="24"/>
                <w:szCs w:val="24"/>
                <w:highlight w:val="none"/>
                <w:lang w:val="en-US" w:eastAsia="zh-CN"/>
              </w:rPr>
              <w:t xml:space="preserve">园路、广场及铺装</w:t>
            </w:r>
            <w:bookmarkEnd w:id="194"/>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bidi="ar"/>
              </w:rPr>
              <w:t xml:space="preserve">定期清理养护范围内铺装、园路、人行道板砖缝隙杂草，雨后及时清理路面淤泥，保持铺装区域整洁。常态化巡查、管护园路、广场及铺装，对上述设施存在沉降、松动、断裂、缺失、腐烂、损坏、失效、老化、功能不全、人为破坏等问题，应先设置围挡警示，及时维修、复原、更换、出新、增设新材料新工艺等（按照精细化标准进行作业</w:t>
            </w:r>
            <w:r>
              <w:rPr>
                <w:rFonts w:hint="eastAsia" w:ascii="宋体" w:hAnsi="宋体" w:eastAsia="宋体" w:cs="宋体"/>
                <w:b w:val="0"/>
                <w:bCs w:val="0"/>
                <w:color w:val="auto"/>
                <w:sz w:val="24"/>
                <w:szCs w:val="24"/>
                <w:highlight w:val="none"/>
                <w:lang w:val="en-US" w:eastAsia="zh-CN" w:bidi="ar"/>
              </w:rPr>
              <w:t xml:space="preserve">施工），存在安全隐患问题的，还需立即上报采购人，并做好安全防护及时安排消险维修。若因中标人巡查不到位、维保不及时、未上报隐患问题等原因发生安全事故、社会舆情的，相关法律责任和经济赔偿责任由中标人全部承担。针对项目范围内所有木质结构设施（含木栈道、木平台等包括但不限于各类木质相关的设施），须开展常态化防腐养护作业，定期对整体面层、拼接缝隙、构件接触面涂刷天然桐油。桐油涂刷作业须规范施工，涂刷前清理干净表面灰尘、污渍、积水、杂物，待面层完全干燥后均匀涂刷，确保无漏刷、无积油、无涂刷痕迹，保障涂刷质量与养护效果。</w:t>
            </w:r>
            <w:r>
              <w:rPr>
                <w:color w:val="auto"/>
                <w:highlight w:val="none"/>
              </w:rPr>
            </w:r>
            <w:r/>
          </w:p>
          <w:p>
            <w:pPr>
              <w:pStyle w:val="873"/>
              <w:ind w:firstLine="0"/>
              <w:jc w:val="left"/>
              <w:keepLines w:val="0"/>
              <w:keepNext w:val="0"/>
              <w:spacing w:line="0" w:lineRule="atLeast"/>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CN" w:bidi="ar"/>
              </w:rPr>
              <w:t xml:space="preserve">注：上述条款所指“铺装”包含不限于石材地面、砼砖、压膜地面、透水砖、透水混凝土、塑胶地面、木栈道、木平台、汀步、舒布洛克砖、植草砖地面及石材收边、园路、台阶等所有铺装类型。</w:t>
            </w:r>
            <w:r>
              <w:rPr>
                <w:color w:val="auto"/>
                <w:highlight w:val="none"/>
              </w:rPr>
            </w:r>
            <w:r/>
          </w:p>
          <w:p>
            <w:pPr>
              <w:pStyle w:val="873"/>
              <w:jc w:val="left"/>
              <w:keepLines w:val="0"/>
              <w:keepNext w:val="0"/>
              <w:spacing w:line="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②</w:t>
            </w:r>
            <w:r>
              <w:rPr>
                <w:rFonts w:hint="eastAsia" w:ascii="宋体" w:hAnsi="宋体" w:eastAsia="宋体" w:cs="宋体"/>
                <w:b/>
                <w:bCs/>
                <w:color w:val="auto"/>
                <w:sz w:val="24"/>
                <w:szCs w:val="24"/>
                <w:highlight w:val="none"/>
                <w:lang w:val="en-US" w:eastAsia="zh-CN"/>
              </w:rPr>
              <w:t xml:space="preserve">亭、廊、花架等构建筑物（第一条要求）：</w:t>
            </w:r>
            <w:r>
              <w:rPr>
                <w:rFonts w:hint="eastAsia" w:ascii="宋体" w:hAnsi="宋体" w:eastAsia="宋体" w:cs="宋体"/>
                <w:color w:val="auto"/>
                <w:sz w:val="24"/>
                <w:szCs w:val="24"/>
                <w:highlight w:val="none"/>
                <w:lang w:val="en-US" w:eastAsia="zh-CN" w:bidi="ar"/>
              </w:rPr>
              <w:t xml:space="preserve">定期排查基础、立</w:t>
            </w:r>
            <w:r>
              <w:rPr>
                <w:rFonts w:hint="eastAsia" w:ascii="宋体" w:hAnsi="宋体" w:eastAsia="宋体" w:cs="宋体"/>
                <w:color w:val="auto"/>
                <w:sz w:val="24"/>
                <w:szCs w:val="24"/>
                <w:highlight w:val="none"/>
                <w:lang w:val="en-US" w:eastAsia="zh-CN" w:bidi="ar"/>
              </w:rPr>
              <w:t xml:space="preserve">柱、横梁状态，重点检查有无开裂、腐朽、倾斜等安全隐患，木结构重点防控白蚁侵蚀、受潮腐朽问题。金属构件定期检查锈蚀情况，及时开展除锈、刷漆防腐作业，杜绝构件锈蚀老化；木质结构每年至少刷涂一次木蜡油；混凝土、砖石结构及时修补风化、剥落、破损部位，保持设施完好；屋面、顶棚、钢化玻璃顶清理灰尘、落叶、鸟粪等杂物，保持通透洁净，定期检查钢化玻璃板面，无裂纹、崩边、划痕、松动、积水污渍，发现破损、自爆等应立即围挡警示并及时更换。定期排查渗漏隐患，保证无漏水；清理排水槽、排水孔，防止杂物堵塞造成积水、渗水、构件积水腐蚀。</w:t>
            </w:r>
            <w:r>
              <w:rPr>
                <w:color w:val="auto"/>
                <w:highlight w:val="none"/>
              </w:rPr>
            </w:r>
            <w:r/>
          </w:p>
          <w:p>
            <w:pPr>
              <w:pStyle w:val="873"/>
              <w:jc w:val="left"/>
              <w:keepLines w:val="0"/>
              <w:keepNext w:val="0"/>
              <w:spacing w:line="0" w:lineRule="atLeast"/>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bCs/>
                <w:color w:val="auto"/>
                <w:sz w:val="24"/>
                <w:szCs w:val="24"/>
                <w:highlight w:val="none"/>
                <w:lang w:val="en-US" w:eastAsia="zh-CN"/>
              </w:rPr>
              <w:t xml:space="preserve">亭、廊、花架等构建筑物（第二条要求）：</w:t>
            </w:r>
            <w:r>
              <w:rPr>
                <w:rFonts w:hint="eastAsia" w:ascii="宋体" w:hAnsi="宋体" w:eastAsia="宋体" w:cs="宋体"/>
                <w:b w:val="0"/>
                <w:bCs w:val="0"/>
                <w:color w:val="auto"/>
                <w:sz w:val="24"/>
                <w:szCs w:val="24"/>
                <w:highlight w:val="none"/>
                <w:lang w:val="en-US" w:eastAsia="zh-CN" w:bidi="ar"/>
              </w:rPr>
              <w:t xml:space="preserve">对木质结构设施存在松动、脱落、断裂、缺失、腐烂、损坏、失效、老化、功能不全、人为破坏等问题，须及时维修、复原、更换、出新、增设新材料新工艺等（按照精细化标准进行作业施工），存在</w:t>
            </w:r>
            <w:r>
              <w:rPr>
                <w:rFonts w:hint="eastAsia" w:ascii="宋体" w:hAnsi="宋体" w:eastAsia="宋体" w:cs="宋体"/>
                <w:b w:val="0"/>
                <w:bCs w:val="0"/>
                <w:color w:val="auto"/>
                <w:sz w:val="24"/>
                <w:szCs w:val="24"/>
                <w:highlight w:val="none"/>
                <w:lang w:val="en-US" w:eastAsia="zh-CN" w:bidi="ar"/>
              </w:rPr>
              <w:t xml:space="preserve">安全隐患问题的，还需立即上报采购人，并做好安全防护及时安排消险维修。若因中标人巡查不到位、维保不及时、未上报隐患问题等原因发生安全事故、社会舆情的，相关法律责任和经济赔偿责任由中标人全部承担。针对项目范围内所有木质结构设施（含木质亭、木结构装饰、木坐凳等包括但不限于各类木质相关的设施），须开展常态化防腐养护作业，定期对整体面层、拼接缝隙、构件接触面涂刷天然桐油。桐油涂刷作业须规范施工，涂刷前清理干净表面灰尘、污渍、积水、杂物，待面层完全干燥后均匀涂刷，确保无漏刷、无积油、无涂刷痕迹，保障涂刷质量与养护效果。</w:t>
            </w:r>
            <w:r>
              <w:rPr>
                <w:color w:val="auto"/>
                <w:highlight w:val="none"/>
              </w:rPr>
            </w:r>
            <w:r/>
          </w:p>
          <w:p>
            <w:pPr>
              <w:pStyle w:val="873"/>
              <w:jc w:val="left"/>
              <w:keepLines w:val="0"/>
              <w:keepNext w:val="0"/>
              <w:spacing w:line="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CN" w:bidi="ar"/>
              </w:rPr>
              <w:t xml:space="preserve">③</w:t>
            </w:r>
            <w:r>
              <w:rPr>
                <w:rFonts w:hint="eastAsia" w:ascii="宋体" w:hAnsi="宋体" w:eastAsia="宋体" w:cs="宋体"/>
                <w:b/>
                <w:bCs/>
                <w:color w:val="auto"/>
                <w:sz w:val="24"/>
                <w:szCs w:val="24"/>
                <w:highlight w:val="none"/>
                <w:lang w:val="en-US" w:eastAsia="zh-CN"/>
              </w:rPr>
              <w:t xml:space="preserve">座椅、标识牌等小品：</w:t>
            </w:r>
            <w:r>
              <w:rPr>
                <w:rFonts w:hint="eastAsia" w:ascii="宋体" w:hAnsi="宋体" w:eastAsia="宋体" w:cs="宋体"/>
                <w:color w:val="auto"/>
                <w:sz w:val="24"/>
                <w:szCs w:val="24"/>
                <w:highlight w:val="none"/>
                <w:lang w:val="en-US" w:eastAsia="zh-CN" w:bidi="ar"/>
              </w:rPr>
              <w:t xml:space="preserve">定期巡查、管护座椅、党建宣传设施（含亮化灯箱等设施）、儿童活动及体育健身设施，保障设施干净整洁、牢固安全、正常使用，及时维修更换破损、松动、缺失、生锈、褪色部件，存在安全隐患问题的，需上报采购人，</w:t>
            </w:r>
            <w:r>
              <w:rPr>
                <w:rFonts w:hint="eastAsia" w:ascii="宋体" w:hAnsi="宋体" w:eastAsia="宋体" w:cs="宋体"/>
                <w:b w:val="0"/>
                <w:bCs w:val="0"/>
                <w:color w:val="auto"/>
                <w:sz w:val="24"/>
                <w:szCs w:val="24"/>
                <w:highlight w:val="none"/>
                <w:lang w:val="en-US" w:eastAsia="zh-CN" w:bidi="ar"/>
              </w:rPr>
              <w:t xml:space="preserve">并做好安全防护及时安排消险维修</w:t>
            </w:r>
            <w:r>
              <w:rPr>
                <w:rFonts w:hint="eastAsia" w:ascii="宋体" w:hAnsi="宋体" w:eastAsia="宋体" w:cs="宋体"/>
                <w:color w:val="auto"/>
                <w:sz w:val="24"/>
                <w:szCs w:val="24"/>
                <w:highlight w:val="none"/>
                <w:lang w:val="en-US" w:eastAsia="zh-CN" w:bidi="ar"/>
              </w:rPr>
              <w:t xml:space="preserve">。若因中标人巡查不到位、维保不及时、未上报隐患问题等原因发生安全事故、社会舆情的，相关法律责任和经济赔偿责任由中标人全部承担。</w:t>
            </w:r>
            <w:r>
              <w:rPr>
                <w:color w:val="auto"/>
                <w:highlight w:val="none"/>
              </w:rPr>
            </w:r>
            <w:r/>
          </w:p>
          <w:p>
            <w:pPr>
              <w:pStyle w:val="873"/>
              <w:jc w:val="left"/>
              <w:keepLines w:val="0"/>
              <w:keepNext w:val="0"/>
              <w:spacing w:line="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④</w:t>
            </w:r>
            <w:r>
              <w:rPr>
                <w:rFonts w:hint="eastAsia" w:ascii="宋体" w:hAnsi="宋体" w:eastAsia="宋体" w:cs="宋体"/>
                <w:b/>
                <w:bCs/>
                <w:color w:val="auto"/>
                <w:sz w:val="24"/>
                <w:szCs w:val="24"/>
                <w:highlight w:val="none"/>
                <w:lang w:val="en-US" w:eastAsia="zh-CN"/>
              </w:rPr>
              <w:t xml:space="preserve">景观灯及亮化设施：</w:t>
            </w:r>
            <w:r>
              <w:rPr>
                <w:rFonts w:hint="eastAsia" w:ascii="宋体" w:hAnsi="宋体" w:eastAsia="宋体" w:cs="宋体"/>
                <w:color w:val="auto"/>
                <w:sz w:val="24"/>
                <w:szCs w:val="24"/>
                <w:highlight w:val="none"/>
                <w:lang w:val="en-US" w:eastAsia="zh-CN" w:bidi="ar"/>
              </w:rPr>
              <w:t xml:space="preserve">景观灯及亮化设施等在每日亮灯时段开展巡查，发现灯具不亮、闪烁、损坏等问题，及时完成修复更换；定期清洁灯杆、灯罩，清除灰尘、污渍、杂物，保障灯具透光效果良好；定期开展电缆、接线盒等绝缘性能及安全隐患排查，发现线路裸露、破损问题立即断电隔离、报修整改，严禁带病运行。涉及景观灯及亮化设施及其供电配套设施（含电缆线等）出现损坏、老化、缺失、被盗、人为破坏、漏水、漏电、密封不严、功能缺失等问题，必须进行维修更换，确保正常使用。</w:t>
            </w:r>
            <w:r>
              <w:rPr>
                <w:color w:val="auto"/>
                <w:highlight w:val="none"/>
              </w:rPr>
            </w:r>
            <w:r/>
          </w:p>
          <w:p>
            <w:pPr>
              <w:pStyle w:val="873"/>
              <w:jc w:val="left"/>
              <w:keepLines w:val="0"/>
              <w:keepNext w:val="0"/>
              <w:spacing w:line="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⑤</w:t>
            </w:r>
            <w:r>
              <w:rPr>
                <w:rFonts w:hint="eastAsia" w:ascii="宋体" w:hAnsi="宋体" w:eastAsia="宋体" w:cs="宋体"/>
                <w:b/>
                <w:bCs/>
                <w:color w:val="auto"/>
                <w:sz w:val="24"/>
                <w:szCs w:val="24"/>
                <w:highlight w:val="none"/>
                <w:lang w:val="en-US" w:eastAsia="zh-CN"/>
              </w:rPr>
              <w:t xml:space="preserve">给排水及水景设施：</w:t>
            </w:r>
            <w:r>
              <w:rPr>
                <w:rFonts w:hint="eastAsia" w:ascii="宋体" w:hAnsi="宋体" w:eastAsia="宋体" w:cs="宋体"/>
                <w:color w:val="auto"/>
                <w:sz w:val="24"/>
                <w:szCs w:val="24"/>
                <w:highlight w:val="none"/>
                <w:lang w:val="en-US" w:eastAsia="zh-CN" w:bidi="ar"/>
              </w:rPr>
              <w:t xml:space="preserve">定期巡检喷灌、滴灌喷头，及时清理堵塞杂物、调整喷洒角度，避免灌溉水流喷射路面，造成积水、浪费；入冬前彻底排空管网、阀门内部积水，做好防冻保温处理，防止设备冻损。</w:t>
            </w:r>
            <w:r>
              <w:rPr>
                <w:rFonts w:hint="eastAsia" w:ascii="宋体" w:hAnsi="宋体" w:eastAsia="宋体" w:cs="宋体"/>
                <w:b w:val="0"/>
                <w:bCs w:val="0"/>
                <w:color w:val="auto"/>
                <w:sz w:val="24"/>
                <w:szCs w:val="24"/>
                <w:highlight w:val="none"/>
                <w:lang w:val="en-US" w:eastAsia="zh-CN" w:bidi="ar"/>
              </w:rPr>
              <w:t xml:space="preserve">定期巡查喷泉设施设备运行状态</w:t>
            </w:r>
            <w:r>
              <w:rPr>
                <w:rFonts w:hint="eastAsia" w:ascii="宋体" w:hAnsi="宋体" w:eastAsia="宋体" w:cs="宋体"/>
                <w:color w:val="auto"/>
                <w:sz w:val="24"/>
                <w:szCs w:val="24"/>
                <w:highlight w:val="none"/>
                <w:lang w:val="en-US" w:eastAsia="zh-CN" w:bidi="ar"/>
              </w:rPr>
              <w:t xml:space="preserve">，检查喷泉水泵、喷头、管线、阀门、控制系统运行是否正常，有无异响、漏水、喷水歪斜、不出水等问题并及时修复；清理喷泉喷头杂物、水垢，保证喷水造型规整、出水均匀；清理喷泉池底泥沙、杂物、青苔，保持水体</w:t>
            </w:r>
            <w:r>
              <w:rPr>
                <w:rFonts w:hint="eastAsia" w:ascii="宋体" w:hAnsi="宋体" w:eastAsia="宋体" w:cs="宋体"/>
                <w:color w:val="auto"/>
                <w:sz w:val="24"/>
                <w:szCs w:val="24"/>
                <w:highlight w:val="none"/>
                <w:lang w:val="en-US" w:eastAsia="zh-CN" w:bidi="ar"/>
              </w:rPr>
              <w:t xml:space="preserve">洁净，无漂浮垃圾、无浑浊发黑现象；定期检查喷泉专用水泵、配电柜、控制器、线路防水绝缘状态，紧固松动配件，对水泵、传动部件加注润滑保养，老化破损管线、配件及时更换。同步养护喷泉配套水下灯、氛围亮化灯具，定期清洁灯罩，排查线路防水、漏电隐患，损坏灯具及时更换，保障夜间喷泉亮化效果完整。冬季低温天气停止喷泉运行，彻底放空泵体、管线、喷头及水池残留积水，做好设备防冻、包裹防护，防止冻裂损坏；开春使用前全面试压调试，正常后方可投入运行。定期测试喷泉区域漏电保护装置，做好水景区域安全防护，杜绝漏电、设备脱落等安全隐患。</w:t>
            </w:r>
            <w:r>
              <w:rPr>
                <w:color w:val="auto"/>
                <w:highlight w:val="none"/>
              </w:rPr>
            </w:r>
            <w:r/>
          </w:p>
          <w:p>
            <w:pPr>
              <w:pStyle w:val="873"/>
              <w:jc w:val="left"/>
              <w:keepLines w:val="0"/>
              <w:keepNext w:val="0"/>
              <w:spacing w:line="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⑥</w:t>
            </w:r>
            <w:r>
              <w:rPr>
                <w:rFonts w:hint="eastAsia" w:ascii="宋体" w:hAnsi="宋体" w:eastAsia="宋体" w:cs="宋体"/>
                <w:b/>
                <w:bCs/>
                <w:color w:val="auto"/>
                <w:sz w:val="24"/>
                <w:szCs w:val="24"/>
                <w:highlight w:val="none"/>
                <w:lang w:val="en-US" w:eastAsia="zh-CN"/>
              </w:rPr>
              <w:t xml:space="preserve">各类树池围栏：</w:t>
            </w:r>
            <w:r>
              <w:rPr>
                <w:rFonts w:hint="eastAsia" w:ascii="宋体" w:hAnsi="宋体" w:eastAsia="宋体" w:cs="宋体"/>
                <w:color w:val="auto"/>
                <w:sz w:val="24"/>
                <w:szCs w:val="24"/>
                <w:highlight w:val="none"/>
                <w:lang w:val="en-US" w:eastAsia="zh-CN" w:bidi="ar"/>
              </w:rPr>
              <w:t xml:space="preserve">定期检查、维护不锈钢材质、铁艺材质、木头材质等各类型围栏，</w:t>
            </w:r>
            <w:r>
              <w:rPr>
                <w:rFonts w:hint="eastAsia" w:ascii="宋体" w:hAnsi="宋体" w:eastAsia="宋体" w:cs="宋体"/>
                <w:color w:val="auto"/>
                <w:sz w:val="24"/>
                <w:szCs w:val="24"/>
                <w:highlight w:val="none"/>
                <w:lang w:val="en-US" w:eastAsia="zh-CN" w:bidi="ar"/>
              </w:rPr>
              <w:t xml:space="preserve">确保稳固完好、无安全隐患，围栏的锐角保护设施定期检查维修和更换；铁艺围栏每年集中开展除锈刷漆作业，杜绝出现锈蚀、掉漆、塑皮脱落等情况发生；木质围栏根据防腐层损耗情况，每年补充涂刷防腐油；及时维修更换破损、老化、人为破坏部件，存在安全隐患问题的需及时上报采购人并及时维修更换。服务期内，中标人须无条件配合采购人工作要求，按需完成各类围栏的新增安装、移位、拆除、复位等配套工作。若因中标人巡查不到位、维保不及时、隐患未上报或未按要求落实拆装工作，引发安全事故、社会舆情的，相关法律责任和经济赔偿责任由中标人全部承担。</w:t>
            </w:r>
            <w:r>
              <w:rPr>
                <w:color w:val="auto"/>
                <w:highlight w:val="none"/>
              </w:rPr>
            </w:r>
            <w:r/>
          </w:p>
          <w:p>
            <w:pPr>
              <w:pStyle w:val="873"/>
              <w:jc w:val="left"/>
              <w:keepLines w:val="0"/>
              <w:keepNext w:val="0"/>
              <w:spacing w:line="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CN" w:bidi="ar"/>
              </w:rPr>
              <w:t xml:space="preserve">⑦</w:t>
            </w:r>
            <w:r>
              <w:rPr>
                <w:rFonts w:hint="eastAsia" w:ascii="宋体" w:hAnsi="宋体" w:eastAsia="宋体" w:cs="宋体"/>
                <w:b/>
                <w:bCs/>
                <w:color w:val="auto"/>
                <w:sz w:val="24"/>
                <w:szCs w:val="24"/>
                <w:highlight w:val="none"/>
                <w:lang w:val="en-US" w:eastAsia="zh-CN"/>
              </w:rPr>
              <w:t xml:space="preserve">各类园林护栏：</w:t>
            </w:r>
            <w:r>
              <w:rPr>
                <w:rFonts w:hint="eastAsia" w:ascii="宋体" w:hAnsi="宋体" w:eastAsia="宋体" w:cs="宋体"/>
                <w:color w:val="auto"/>
                <w:sz w:val="24"/>
                <w:szCs w:val="24"/>
                <w:highlight w:val="none"/>
                <w:lang w:val="en-US" w:eastAsia="zh-CN" w:bidi="ar"/>
              </w:rPr>
              <w:t xml:space="preserve">定期检查、维护镀锌铁质护栏、铁艺护栏、钢化玻璃护栏等各类型护栏，确保稳固完好、无安全隐患；护栏每年集中开展除锈刷漆、螺丝紧固等作业，杜绝出现锈蚀、掉漆、塑皮脱落等情况发生；及时维修更换破损、老化、人为破坏部件，存在安全隐患问题的需及时上报采购人并及时维修更换。服务期内，中标人须无条件配合采购人工作要求，按需完成各类护栏的新增安装、移位、拆除、复位等配套工作。若因中标人巡查不到位、维保不及时、隐患未上报或未按要求落实拆装工作，引发安全事故、社会舆情的，相关法律责任和经济赔偿责任由中标人全部承担。</w:t>
            </w:r>
            <w:r>
              <w:rPr>
                <w:color w:val="auto"/>
                <w:highlight w:val="none"/>
              </w:rPr>
            </w:r>
            <w:r/>
          </w:p>
          <w:p>
            <w:pPr>
              <w:pStyle w:val="873"/>
              <w:jc w:val="left"/>
              <w:keepLines w:val="0"/>
              <w:keepNext w:val="0"/>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bidi="ar"/>
              </w:rPr>
              <w:t xml:space="preserve">重要提示：本项目全域内的各类</w:t>
            </w:r>
            <w:r>
              <w:rPr>
                <w:rFonts w:hint="eastAsia" w:ascii="宋体" w:hAnsi="宋体" w:eastAsia="宋体" w:cs="宋体"/>
                <w:color w:val="auto"/>
                <w:sz w:val="24"/>
                <w:szCs w:val="24"/>
                <w:highlight w:val="none"/>
              </w:rPr>
              <w:t xml:space="preserve">设施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建设年限久、设施老旧，维修、更换、出新工作量大，请投标人自行踏勘现场，综合考量全部作业内容与风险。</w:t>
            </w:r>
            <w:r>
              <w:rPr>
                <w:color w:val="auto"/>
                <w:highlight w:val="none"/>
              </w:rPr>
            </w:r>
            <w:r/>
          </w:p>
          <w:p>
            <w:pPr>
              <w:pStyle w:val="873"/>
              <w:jc w:val="left"/>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缺失破损窨井盖的巡查、上报和设立警示围栏：</w:t>
            </w:r>
            <w:r>
              <w:rPr>
                <w:rFonts w:hint="eastAsia" w:ascii="宋体" w:hAnsi="宋体" w:eastAsia="宋体" w:cs="宋体"/>
                <w:i w:val="0"/>
                <w:strike w:val="0"/>
                <w:color w:val="auto"/>
                <w:sz w:val="24"/>
                <w:szCs w:val="24"/>
                <w:highlight w:val="none"/>
                <w:u w:val="none"/>
                <w:lang w:bidi="ar"/>
              </w:rPr>
              <w:t xml:space="preserve">养护范围内绿化带、人行道、非机动车道窨井盖缺失、破损的，中标人须主动上报采购人，并立即在窨井周边设置警示围栏，由采购人通知权属单位维修更换。养护人员因井盖缺失造成人身伤害的，全部责任由中标人自行承担，由中标人自行向窨井盖权属单位追偿。</w:t>
            </w:r>
            <w:r>
              <w:rPr>
                <w:rFonts w:hint="eastAsia" w:ascii="宋体" w:hAnsi="宋体" w:eastAsia="宋体" w:cs="宋体"/>
                <w:color w:val="auto"/>
                <w:sz w:val="24"/>
                <w:szCs w:val="24"/>
                <w:highlight w:val="none"/>
                <w:lang w:val="en-US" w:eastAsia="zh-CN" w:bidi="ar"/>
              </w:rPr>
              <w:t xml:space="preserve">另</w:t>
            </w:r>
            <w:r>
              <w:rPr>
                <w:rFonts w:hint="eastAsia" w:ascii="宋体" w:hAnsi="宋体" w:eastAsia="宋体" w:cs="宋体"/>
                <w:color w:val="auto"/>
                <w:sz w:val="24"/>
                <w:szCs w:val="24"/>
                <w:highlight w:val="none"/>
              </w:rPr>
              <w:t xml:space="preserve">中标</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负责配合公安部门、采购人依法依规调取监控相关资料，</w:t>
            </w:r>
            <w:r>
              <w:rPr>
                <w:rFonts w:hint="eastAsia" w:ascii="宋体" w:hAnsi="宋体" w:eastAsia="宋体" w:cs="宋体"/>
                <w:color w:val="auto"/>
                <w:sz w:val="24"/>
                <w:szCs w:val="24"/>
                <w:highlight w:val="none"/>
                <w:lang w:val="en-US" w:eastAsia="zh-CN"/>
              </w:rPr>
              <w:t xml:space="preserve">履行保密义务，</w:t>
            </w:r>
            <w:r>
              <w:rPr>
                <w:rFonts w:hint="eastAsia" w:ascii="宋体" w:hAnsi="宋体" w:eastAsia="宋体" w:cs="宋体"/>
                <w:color w:val="auto"/>
                <w:sz w:val="24"/>
                <w:szCs w:val="24"/>
                <w:highlight w:val="none"/>
              </w:rPr>
              <w:t xml:space="preserve">严禁擅自泄露、传播、使用所接触的监控数据与影像信息；一旦发生泄密情形，由此造成的舆情风险、各类纠纷及全部法律后果，均由中标单位自行承担。</w:t>
            </w:r>
            <w:r>
              <w:rPr>
                <w:color w:val="auto"/>
                <w:highlight w:val="none"/>
              </w:rPr>
            </w:r>
            <w:r/>
          </w:p>
          <w:p>
            <w:pPr>
              <w:pStyle w:val="873"/>
              <w:numPr>
                <w:ilvl w:val="0"/>
                <w:numId w:val="0"/>
              </w:numPr>
              <w:jc w:val="left"/>
              <w:keepLines w:val="0"/>
              <w:keepNext w:val="0"/>
              <w:spacing w:line="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b/>
                <w:bCs/>
                <w:color w:val="auto"/>
                <w:sz w:val="24"/>
                <w:szCs w:val="24"/>
                <w:highlight w:val="none"/>
                <w:lang w:val="en-US" w:eastAsia="zh-CN"/>
              </w:rPr>
              <w:t xml:space="preserve">监控系统运维：</w:t>
            </w:r>
            <w:r>
              <w:rPr>
                <w:rFonts w:hint="eastAsia" w:ascii="宋体" w:hAnsi="宋体" w:eastAsia="宋体" w:cs="宋体"/>
                <w:color w:val="auto"/>
                <w:sz w:val="24"/>
                <w:szCs w:val="24"/>
                <w:highlight w:val="none"/>
                <w:lang w:val="en-US" w:eastAsia="zh-CN"/>
              </w:rPr>
              <w:t xml:space="preserve">定期巡查、维保监控设备及附属配套设施，承担全年网络宽带、云储存备份等费用（全部含于投标报价），保障设备网络通畅、功能正常。对设备老化、破损、损毁、管线断裂、通信故障、线路缺失等问题时及时维修及更换配件，确保监控系统全程完好可用、备份完整（备份最低存储期限≥90天），采购人不</w:t>
            </w:r>
            <w:r>
              <w:rPr>
                <w:rFonts w:hint="eastAsia" w:ascii="宋体" w:hAnsi="宋体" w:eastAsia="宋体" w:cs="宋体"/>
                <w:color w:val="auto"/>
                <w:sz w:val="24"/>
                <w:szCs w:val="24"/>
                <w:highlight w:val="none"/>
                <w:lang w:val="en-US" w:eastAsia="zh-CN" w:bidi="ar"/>
              </w:rPr>
              <w:t xml:space="preserve">承担额外费用。</w:t>
            </w:r>
            <w:r>
              <w:rPr>
                <w:color w:val="auto"/>
                <w:highlight w:val="none"/>
              </w:rPr>
            </w:r>
            <w:r/>
          </w:p>
          <w:p>
            <w:pPr>
              <w:pStyle w:val="873"/>
              <w:jc w:val="left"/>
              <w:keepLines w:val="0"/>
              <w:keepNext w:val="0"/>
              <w:spacing w:line="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绿道导视及地面涂装维护：</w:t>
            </w:r>
            <w:r>
              <w:rPr>
                <w:rFonts w:hint="eastAsia" w:ascii="宋体" w:hAnsi="宋体" w:eastAsia="宋体" w:cs="宋体"/>
                <w:color w:val="auto"/>
                <w:sz w:val="24"/>
                <w:szCs w:val="24"/>
                <w:highlight w:val="none"/>
                <w:lang w:val="en-US" w:eastAsia="zh-CN" w:bidi="ar"/>
              </w:rPr>
              <w:t xml:space="preserve">定期巡查、管护绿道导视指示牌、地面涂装，对脱焊、破损、老化、褪色、损毁等问题及时维修、更换、出新，</w:t>
            </w:r>
            <w:r>
              <w:rPr>
                <w:rFonts w:hint="eastAsia" w:ascii="宋体" w:hAnsi="宋体" w:eastAsia="宋体" w:cs="宋体"/>
                <w:color w:val="auto"/>
                <w:sz w:val="24"/>
                <w:szCs w:val="24"/>
                <w:highlight w:val="none"/>
              </w:rPr>
              <w:t xml:space="preserve">存在安全隐患问题</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，需上报采购人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若因中标人巡查不到位、维保不及时、未上报隐患问题等原因发生安全事故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社会舆情的，相关法律责任和经济赔偿责任由中标人全部承担。</w:t>
            </w:r>
            <w:r>
              <w:rPr>
                <w:color w:val="auto"/>
                <w:highlight w:val="none"/>
              </w:rPr>
            </w:r>
            <w:r/>
          </w:p>
          <w:p>
            <w:pPr>
              <w:pStyle w:val="873"/>
              <w:jc w:val="left"/>
              <w:keepLines w:val="0"/>
              <w:keepNext w:val="0"/>
              <w:spacing w:line="0" w:lineRule="atLeast"/>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控制箱彩绘维护</w:t>
            </w:r>
            <w:r>
              <w:rPr>
                <w:color w:val="auto"/>
                <w:highlight w:val="none"/>
              </w:rPr>
            </w:r>
            <w:r/>
          </w:p>
          <w:p>
            <w:pPr>
              <w:pStyle w:val="873"/>
              <w:jc w:val="left"/>
              <w:keepLines w:val="0"/>
              <w:keepNext w:val="0"/>
              <w:spacing w:line="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①</w:t>
            </w:r>
            <w:r>
              <w:rPr>
                <w:rFonts w:hint="eastAsia" w:ascii="宋体" w:hAnsi="宋体" w:eastAsia="宋体" w:cs="宋体"/>
                <w:color w:val="auto"/>
                <w:sz w:val="24"/>
                <w:szCs w:val="24"/>
                <w:highlight w:val="none"/>
                <w:lang w:val="en-US" w:eastAsia="zh-CN" w:bidi="ar"/>
              </w:rPr>
              <w:t xml:space="preserve">巡检补损：定期检查彩绘表面状态，高温、潮湿、强紫外线区域加密巡检；发现褪色、剥落、裂纹等破损及时补漆，防止锈蚀扩散。</w:t>
            </w:r>
            <w:r>
              <w:rPr>
                <w:color w:val="auto"/>
                <w:highlight w:val="none"/>
              </w:rPr>
            </w:r>
            <w:r/>
          </w:p>
          <w:p>
            <w:pPr>
              <w:pStyle w:val="873"/>
              <w:jc w:val="left"/>
              <w:keepLines w:val="0"/>
              <w:keepNext w:val="0"/>
              <w:spacing w:line="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②</w:t>
            </w:r>
            <w:r>
              <w:rPr>
                <w:rFonts w:hint="eastAsia" w:ascii="宋体" w:hAnsi="宋体" w:eastAsia="宋体" w:cs="宋体"/>
                <w:color w:val="auto"/>
                <w:sz w:val="24"/>
                <w:szCs w:val="24"/>
                <w:highlight w:val="none"/>
                <w:lang w:val="en-US" w:eastAsia="zh-CN" w:bidi="ar"/>
              </w:rPr>
              <w:t xml:space="preserve">规范清洁：定期清理控制箱周边灰尘，延缓彩绘老化；使用软毛刷或中性清洁剂清洁彩绘表面，严禁高压水枪直冲、腐蚀性清洁剂清洗；清洁时做好周边电气元件防护，防止液体渗入设备内部。</w:t>
            </w:r>
            <w:r>
              <w:rPr>
                <w:color w:val="auto"/>
                <w:highlight w:val="none"/>
              </w:rPr>
            </w:r>
            <w:r/>
          </w:p>
          <w:p>
            <w:pPr>
              <w:pStyle w:val="873"/>
              <w:jc w:val="left"/>
              <w:keepLines w:val="0"/>
              <w:keepNext w:val="0"/>
              <w:spacing w:line="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③标准修复：补漆选用同型号耐候、防腐彩绘材料，施工前清洁、打磨修复区域并涂刷底漆增强附着力；作业环境温度控制在0-40℃、湿度低于85%，避开极端天气。褪色严重无法修复的，书面上报采购人确认后按要求重新彩绘。</w:t>
            </w:r>
            <w:r>
              <w:rPr>
                <w:color w:val="auto"/>
                <w:highlight w:val="none"/>
              </w:rPr>
            </w:r>
            <w:r/>
          </w:p>
          <w:p>
            <w:pPr>
              <w:pStyle w:val="873"/>
              <w:jc w:val="left"/>
              <w:keepLines w:val="0"/>
              <w:keepNext w:val="0"/>
              <w:spacing w:line="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④安全作业：维护区域设置“高压危险”警示标识，作业时遮挡非作业区域，避免涂料污染电气元件。</w:t>
            </w:r>
            <w:r>
              <w:rPr>
                <w:color w:val="auto"/>
                <w:highlight w:val="none"/>
              </w:rPr>
            </w:r>
            <w:r/>
          </w:p>
          <w:p>
            <w:pPr>
              <w:pStyle w:val="873"/>
              <w:jc w:val="left"/>
              <w:keepLines w:val="0"/>
              <w:keepNext w:val="0"/>
              <w:spacing w:line="0" w:lineRule="atLeast"/>
              <w:widowControl/>
              <w:rPr>
                <w:rFonts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⑤资质要求：彩绘维护须由具备电气安全资质的团队施工，规避设备故障及安全风险；涉及公共宣传主题的彩绘，可与采购人协商更新周期。</w:t>
            </w:r>
            <w:r>
              <w:rPr>
                <w:color w:val="auto"/>
                <w:highlight w:val="none"/>
              </w:rPr>
            </w:r>
            <w:r/>
          </w:p>
          <w:p>
            <w:pPr>
              <w:pStyle w:val="873"/>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bidi="ar"/>
              </w:rPr>
              <w:t xml:space="preserve">（15）</w:t>
            </w:r>
            <w:r>
              <w:rPr>
                <w:rFonts w:hint="eastAsia" w:ascii="宋体" w:hAnsi="宋体" w:eastAsia="宋体" w:cs="宋体"/>
                <w:b/>
                <w:bCs/>
                <w:color w:val="auto"/>
                <w:sz w:val="24"/>
                <w:szCs w:val="24"/>
                <w:highlight w:val="none"/>
                <w:lang w:val="en-US" w:eastAsia="zh-CN"/>
              </w:rPr>
              <w:t xml:space="preserve">上述所有条款全部工作内容（含巡查、检测、维修、更换、材料、人工、机械、运输、安全防护、应急处置、补植更新、管理费、利润、税金及一切风险、不可预见费用等）全部费用包含在投标人投标报价内。请投标人自行了解项目现场、服务标准及全部采购要求，做出投标报价。中标后，采购人不再另行增加、追加任何费用。因投标人因失误、漏项、错报、理解偏差导致的履约风险费用，均由中标人自行承担。</w:t>
            </w:r>
            <w:r>
              <w:rPr>
                <w:color w:val="auto"/>
                <w:highlight w:val="none"/>
              </w:rPr>
            </w:r>
            <w:r/>
          </w:p>
          <w:p>
            <w:pPr>
              <w:pStyle w:val="873"/>
              <w:jc w:val="left"/>
              <w:keepLines w:val="0"/>
              <w:keepNext w:val="0"/>
              <w:spacing w:line="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r>
            <w:r>
              <w:rPr>
                <w:color w:val="auto"/>
                <w:highlight w:val="none"/>
              </w:rPr>
            </w:r>
            <w:r/>
          </w:p>
        </w:tc>
      </w:tr>
    </w:tbl>
    <w:p>
      <w:pPr>
        <w:pStyle w:val="873"/>
        <w:spacing w:line="0" w:lineRule="atLeast"/>
        <w:rPr>
          <w:rFonts w:hint="eastAsia" w:ascii="宋体" w:hAnsi="宋体" w:eastAsia="宋体" w:cs="宋体"/>
          <w:b w:val="0"/>
          <w:bCs w:val="0"/>
          <w:color w:val="auto"/>
          <w:spacing w:val="0"/>
          <w:sz w:val="24"/>
          <w:szCs w:val="24"/>
          <w:highlight w:val="none"/>
        </w:rPr>
      </w:pPr>
      <w:r>
        <w:rPr>
          <w:rFonts w:hint="eastAsia" w:ascii="宋体" w:hAnsi="宋体" w:eastAsia="宋体" w:cs="宋体"/>
          <w:b w:val="0"/>
          <w:bCs w:val="0"/>
          <w:color w:val="auto"/>
          <w:spacing w:val="0"/>
          <w:sz w:val="24"/>
          <w:szCs w:val="24"/>
          <w:highlight w:val="none"/>
        </w:rPr>
      </w:r>
      <w:r>
        <w:rPr>
          <w:color w:val="auto"/>
          <w:highlight w:val="none"/>
        </w:rPr>
      </w:r>
      <w:r/>
    </w:p>
    <w:p>
      <w:pPr>
        <w:pStyle w:val="873"/>
        <w:spacing w:line="0" w:lineRule="atLeast"/>
        <w:rPr>
          <w:rFonts w:hint="eastAsia" w:ascii="宋体" w:hAnsi="宋体" w:eastAsia="宋体" w:cs="宋体"/>
          <w:b w:val="0"/>
          <w:bCs w:val="0"/>
          <w:color w:val="auto"/>
          <w:spacing w:val="0"/>
          <w:sz w:val="24"/>
          <w:szCs w:val="24"/>
          <w:highlight w:val="none"/>
        </w:rPr>
      </w:pPr>
      <w:r>
        <w:rPr>
          <w:rFonts w:hint="eastAsia" w:ascii="宋体" w:hAnsi="宋体" w:eastAsia="宋体" w:cs="宋体"/>
          <w:b w:val="0"/>
          <w:bCs w:val="0"/>
          <w:color w:val="auto"/>
          <w:spacing w:val="0"/>
          <w:sz w:val="24"/>
          <w:szCs w:val="24"/>
          <w:highlight w:val="none"/>
        </w:rPr>
        <w:t xml:space="preserve">2.</w:t>
      </w:r>
      <w:r>
        <w:rPr>
          <w:rFonts w:hint="eastAsia" w:ascii="宋体" w:hAnsi="宋体" w:eastAsia="宋体" w:cs="宋体"/>
          <w:b w:val="0"/>
          <w:bCs w:val="0"/>
          <w:color w:val="auto"/>
          <w:spacing w:val="0"/>
          <w:sz w:val="24"/>
          <w:szCs w:val="24"/>
          <w:highlight w:val="none"/>
          <w:lang w:eastAsia="zh-CN"/>
        </w:rPr>
        <w:t xml:space="preserve">六合经济开发区2026-2027年度二片区园林绿化养护项目</w:t>
      </w:r>
      <w:r>
        <w:rPr>
          <w:rFonts w:hint="eastAsia" w:ascii="宋体" w:hAnsi="宋体" w:eastAsia="宋体" w:cs="宋体"/>
          <w:b w:val="0"/>
          <w:bCs w:val="0"/>
          <w:color w:val="auto"/>
          <w:spacing w:val="0"/>
          <w:sz w:val="24"/>
          <w:szCs w:val="24"/>
          <w:highlight w:val="none"/>
        </w:rPr>
        <w:t xml:space="preserve">（行道树养护管理服务部分）</w:t>
      </w:r>
      <w:r>
        <w:rPr>
          <w:color w:val="auto"/>
          <w:highlight w:val="none"/>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29"/>
      </w:tblGrid>
      <w:tr>
        <w:trPr>
          <w:trHeight w:val="1412"/>
        </w:trPr>
        <w:tc>
          <w:tcPr>
            <w:tcW w:w="10129" w:type="dxa"/>
            <w:vAlign w:val="top"/>
            <w:textDirection w:val="lrTb"/>
            <w:noWrap w:val="false"/>
          </w:tcPr>
          <w:p>
            <w:pPr>
              <w:pStyle w:val="873"/>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b/>
                <w:bCs/>
                <w:color w:val="auto"/>
                <w:sz w:val="24"/>
                <w:szCs w:val="24"/>
                <w:highlight w:val="none"/>
                <w:lang w:val="en-US" w:eastAsia="zh-CN"/>
              </w:rPr>
              <w:t xml:space="preserve">修剪整形</w:t>
            </w:r>
            <w:r>
              <w:rPr>
                <w:color w:val="auto"/>
                <w:highlight w:val="none"/>
              </w:rPr>
            </w:r>
            <w:r/>
          </w:p>
          <w:p>
            <w:pPr>
              <w:pStyle w:val="873"/>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①修剪时期：春季修剪进行抹芽、提干疏枝整形，剪除下垂枝、萌芽枝、徒长枝、枯枝、断枝及病虫枝。冬季修剪重点进行整形修剪，剪除下垂枝、徒长枝、杂乱枝、交叉枝、断枝、病虫害枝；对长势过高、影响整体整齐度的行道树进行断高修剪，修剪后树高应与路段多数树木持平，确保整体林冠线整齐（特殊树种除外）。应急修剪按甲方要求适时组织，必须限时完成。日常巡查发现枯枝、断枝，须在24小时内清除。</w:t>
            </w:r>
            <w:r>
              <w:rPr>
                <w:color w:val="auto"/>
                <w:highlight w:val="none"/>
              </w:rPr>
            </w:r>
            <w:r/>
          </w:p>
          <w:p>
            <w:pPr>
              <w:pStyle w:val="873"/>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②修剪技术标准：分枝点高度不低于2.8米，同一条道路同树龄行道树分枝点高度需保持一致。银杏等主轴明显的树种，修剪时仅可疏除过密枝、交叉枝、病虫枝等，严禁短截主干或主枝。若主干受损，须利用邻近健壮侧枝重新培养，以维持树木自然的塔形或卵形树冠，保持顶端生长优势。修剪后剪口须平滑；直径5厘米以上截口必须封蜡或涂抹伤口愈合膏。大枝截断采用“三锯法”，严禁撕裂树皮。</w:t>
            </w:r>
            <w:r>
              <w:rPr>
                <w:color w:val="auto"/>
                <w:highlight w:val="none"/>
              </w:rPr>
            </w:r>
            <w:r/>
          </w:p>
          <w:p>
            <w:pPr>
              <w:pStyle w:val="873"/>
              <w:spacing w:line="0" w:lineRule="atLeas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b/>
                <w:bCs/>
                <w:color w:val="auto"/>
                <w:sz w:val="24"/>
                <w:szCs w:val="24"/>
                <w:highlight w:val="none"/>
                <w:lang w:val="en-US" w:eastAsia="zh-CN"/>
              </w:rPr>
              <w:t xml:space="preserve">树穴与土壤管理</w:t>
            </w:r>
            <w:r>
              <w:rPr>
                <w:color w:val="auto"/>
                <w:highlight w:val="none"/>
              </w:rPr>
            </w:r>
            <w:r/>
          </w:p>
          <w:p>
            <w:pPr>
              <w:pStyle w:val="873"/>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①地被与草坪管理：树池内麦冬、草坪等植被纳入统一养护，及时清除杂草、杂物垃圾，修剪枯叶，草坪养护按规范及采购服务要求执行。</w:t>
            </w:r>
            <w:r>
              <w:rPr>
                <w:color w:val="auto"/>
                <w:highlight w:val="none"/>
              </w:rPr>
            </w:r>
            <w:r/>
          </w:p>
          <w:p>
            <w:pPr>
              <w:pStyle w:val="873"/>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②树池附属设施维保：定期巡检树池格栅板、木围栏、不锈钢围栏及不锈钢围栏防撞角等配套设施，发现损坏、损毁、丢失、存在安全隐患的，须及时维修和更换。所有不锈钢围栏需按规范标准统一加装防撞角配件，保障设施防护完整性与通行安全。因巡查不到位、维保不及时或上报不及时导致社会舆情影响和安全事故的，法律责任和赔偿责任由中标人全部承担。</w:t>
            </w:r>
            <w:r>
              <w:rPr>
                <w:color w:val="auto"/>
                <w:highlight w:val="none"/>
              </w:rPr>
            </w:r>
            <w:r/>
          </w:p>
          <w:p>
            <w:pPr>
              <w:pStyle w:val="873"/>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③松土：松土深度5～10厘米，避免伤及一级侧根，满足透水透气的要求。</w:t>
            </w:r>
            <w:r>
              <w:rPr>
                <w:color w:val="auto"/>
                <w:highlight w:val="none"/>
              </w:rPr>
            </w:r>
            <w:r/>
          </w:p>
          <w:p>
            <w:pPr>
              <w:pStyle w:val="873"/>
              <w:numPr>
                <w:ilvl w:val="0"/>
                <w:numId w:val="0"/>
              </w:numPr>
              <w:jc w:val="left"/>
              <w:keepLines w:val="0"/>
              <w:keepNext w:val="0"/>
              <w:spacing w:line="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b/>
                <w:bCs/>
                <w:color w:val="auto"/>
                <w:sz w:val="24"/>
                <w:szCs w:val="24"/>
                <w:highlight w:val="none"/>
                <w:lang w:val="en-US" w:eastAsia="zh-CN"/>
              </w:rPr>
              <w:t xml:space="preserve">补植更新：</w:t>
            </w:r>
            <w:r>
              <w:rPr>
                <w:rFonts w:hint="eastAsia" w:ascii="宋体" w:hAnsi="宋体" w:eastAsia="宋体" w:cs="宋体"/>
                <w:color w:val="auto"/>
                <w:sz w:val="24"/>
                <w:szCs w:val="24"/>
                <w:highlight w:val="none"/>
                <w:lang w:val="en-US" w:eastAsia="zh-CN" w:bidi="ar"/>
              </w:rPr>
              <w:t xml:space="preserve">对枯死、缺失的行道树，在适宜季节及时补植，确保同一路段树种、规格、分枝点高度统一。补植前更换优质种植土、施放基肥，栽植后规范支撑、浇透定根水，保障苗木成活。</w:t>
            </w:r>
            <w:r>
              <w:rPr>
                <w:color w:val="auto"/>
                <w:highlight w:val="none"/>
              </w:rPr>
            </w:r>
            <w:r/>
          </w:p>
          <w:p>
            <w:pPr>
              <w:pStyle w:val="873"/>
              <w:numPr>
                <w:ilvl w:val="0"/>
                <w:numId w:val="0"/>
              </w:numPr>
              <w:jc w:val="left"/>
              <w:keepLines w:val="0"/>
              <w:keepNext w:val="0"/>
              <w:spacing w:line="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CN" w:bidi="ar"/>
              </w:rPr>
              <w:t xml:space="preserve">（4）</w:t>
            </w:r>
            <w:r>
              <w:rPr>
                <w:rFonts w:hint="eastAsia" w:ascii="宋体" w:hAnsi="宋体" w:eastAsia="宋体" w:cs="宋体"/>
                <w:b/>
                <w:bCs/>
                <w:color w:val="auto"/>
                <w:sz w:val="24"/>
                <w:szCs w:val="24"/>
                <w:highlight w:val="none"/>
                <w:lang w:val="en-US" w:eastAsia="zh-CN"/>
              </w:rPr>
              <w:t xml:space="preserve">上述所有条款全部工作内容（含巡查、材料、人工、机械、运输、安全防护、应急处置、补植更新、管理费、利润、税金及一切风险、不可预见费用等）全部费用包含在投标人投标报价内。请投标人自行了解项目现场、服务标准及全部采购要求，做出投标报价。中标后，采购人不再另行增加、追加任何费用。因投标人因失误、漏项、错报、理解偏差导致的履约风险费用，均由中标人自行承担。</w:t>
            </w:r>
            <w:r>
              <w:rPr>
                <w:color w:val="auto"/>
                <w:highlight w:val="none"/>
              </w:rPr>
            </w:r>
            <w:r/>
          </w:p>
        </w:tc>
      </w:tr>
    </w:tbl>
    <w:p>
      <w:pPr>
        <w:pStyle w:val="873"/>
        <w:spacing w:line="0" w:lineRule="atLeast"/>
        <w:rPr>
          <w:rFonts w:hint="eastAsia" w:ascii="宋体" w:hAnsi="宋体" w:eastAsia="宋体" w:cs="宋体"/>
          <w:b w:val="0"/>
          <w:bCs w:val="0"/>
          <w:color w:val="auto"/>
          <w:spacing w:val="0"/>
          <w:sz w:val="24"/>
          <w:szCs w:val="24"/>
          <w:highlight w:val="none"/>
        </w:rPr>
      </w:pPr>
      <w:r>
        <w:rPr>
          <w:rFonts w:hint="eastAsia" w:ascii="宋体" w:hAnsi="宋体" w:eastAsia="宋体" w:cs="宋体"/>
          <w:b w:val="0"/>
          <w:bCs w:val="0"/>
          <w:color w:val="auto"/>
          <w:spacing w:val="0"/>
          <w:sz w:val="24"/>
          <w:szCs w:val="24"/>
          <w:highlight w:val="none"/>
          <w:lang w:val="en-US" w:eastAsia="zh-CN"/>
        </w:rPr>
        <w:t xml:space="preserve">3</w:t>
      </w:r>
      <w:r>
        <w:rPr>
          <w:rFonts w:hint="eastAsia" w:ascii="宋体" w:hAnsi="宋体" w:eastAsia="宋体" w:cs="宋体"/>
          <w:b w:val="0"/>
          <w:bCs w:val="0"/>
          <w:color w:val="auto"/>
          <w:spacing w:val="0"/>
          <w:sz w:val="24"/>
          <w:szCs w:val="24"/>
          <w:highlight w:val="none"/>
        </w:rPr>
        <w:t xml:space="preserve">.</w:t>
      </w:r>
      <w:r>
        <w:rPr>
          <w:rFonts w:hint="eastAsia" w:ascii="宋体" w:hAnsi="宋体" w:eastAsia="宋体" w:cs="宋体"/>
          <w:b w:val="0"/>
          <w:bCs w:val="0"/>
          <w:color w:val="auto"/>
          <w:spacing w:val="0"/>
          <w:sz w:val="24"/>
          <w:szCs w:val="24"/>
          <w:highlight w:val="none"/>
          <w:lang w:eastAsia="zh-CN"/>
        </w:rPr>
        <w:t xml:space="preserve">六合经济开发区2026-2027年度二片区园林绿化养护项目</w:t>
      </w:r>
      <w:r>
        <w:rPr>
          <w:rFonts w:hint="eastAsia" w:ascii="宋体" w:hAnsi="宋体" w:eastAsia="宋体" w:cs="宋体"/>
          <w:b w:val="0"/>
          <w:bCs w:val="0"/>
          <w:color w:val="auto"/>
          <w:spacing w:val="0"/>
          <w:sz w:val="24"/>
          <w:szCs w:val="24"/>
          <w:highlight w:val="none"/>
        </w:rPr>
        <w:t xml:space="preserve">（四季草花更换及养护服务部分）</w:t>
      </w:r>
      <w:r>
        <w:rPr>
          <w:color w:val="auto"/>
          <w:highlight w:val="none"/>
        </w:rPr>
      </w:r>
      <w:r/>
    </w:p>
    <w:tbl>
      <w:tblPr>
        <w:tblW w:w="0" w:type="auto"/>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35"/>
      </w:tblGrid>
      <w:tr>
        <w:trPr>
          <w:trHeight w:val="1108"/>
        </w:trPr>
        <w:tc>
          <w:tcPr>
            <w:tcW w:w="10135" w:type="dxa"/>
            <w:vAlign w:val="top"/>
            <w:textDirection w:val="lrTb"/>
            <w:noWrap w:val="false"/>
          </w:tcPr>
          <w:p>
            <w:pPr>
              <w:pStyle w:val="873"/>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（1）草花品种与质量标准</w:t>
            </w:r>
            <w:r>
              <w:rPr>
                <w:color w:val="auto"/>
                <w:highlight w:val="none"/>
              </w:rPr>
            </w:r>
            <w:r/>
          </w:p>
          <w:p>
            <w:pPr>
              <w:pStyle w:val="873"/>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①</w:t>
            </w:r>
            <w:r>
              <w:rPr>
                <w:rFonts w:hint="eastAsia" w:ascii="宋体" w:hAnsi="宋体" w:eastAsia="宋体" w:cs="宋体"/>
                <w:b/>
                <w:bCs/>
                <w:color w:val="auto"/>
                <w:sz w:val="24"/>
                <w:szCs w:val="24"/>
                <w:highlight w:val="none"/>
                <w:lang w:val="en-US" w:eastAsia="zh-CN"/>
              </w:rPr>
              <w:t xml:space="preserve">品种范围：</w:t>
            </w:r>
            <w:r>
              <w:rPr>
                <w:rFonts w:hint="eastAsia" w:ascii="宋体" w:hAnsi="宋体" w:eastAsia="宋体" w:cs="宋体"/>
                <w:color w:val="auto"/>
                <w:sz w:val="24"/>
                <w:szCs w:val="24"/>
                <w:highlight w:val="none"/>
                <w:lang w:val="en-US" w:eastAsia="zh-CN" w:bidi="ar"/>
              </w:rPr>
              <w:t xml:space="preserve">包括但不限于：金盏菊、雏菊、瓜叶菊、非洲菊、波斯菊、国庆菊、金鸡菊、松果菊、大滨菊、万寿菊、孔雀草、矮牵牛、大花牵牛、三色堇、夏堇、角堇、鲁冰花、八仙花、四季海棠、一串红、红叶甜菜、甜菜花、美女樱、彩叶草、宿根福禄考、绣球、太阳花、羽衣甘蓝、虞美人等。具体栽植品种须根据季节生长特性，由采购人确认品种清单后执行。采购人有权根据市场供应及景观效果需要增加清单外品种，中标人须无条件配合，不得要求增加费用。</w:t>
            </w:r>
            <w:r>
              <w:rPr>
                <w:color w:val="auto"/>
                <w:highlight w:val="none"/>
              </w:rPr>
            </w:r>
            <w:r/>
          </w:p>
          <w:p>
            <w:pPr>
              <w:pStyle w:val="873"/>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②</w:t>
            </w:r>
            <w:r>
              <w:rPr>
                <w:rFonts w:hint="eastAsia" w:ascii="宋体" w:hAnsi="宋体" w:eastAsia="宋体" w:cs="宋体"/>
                <w:b/>
                <w:bCs/>
                <w:color w:val="auto"/>
                <w:sz w:val="24"/>
                <w:szCs w:val="24"/>
                <w:highlight w:val="none"/>
                <w:lang w:val="en-US" w:eastAsia="zh-CN"/>
              </w:rPr>
              <w:t xml:space="preserve">规格与密度：</w:t>
            </w:r>
            <w:r>
              <w:rPr>
                <w:rFonts w:hint="eastAsia" w:ascii="宋体" w:hAnsi="宋体" w:eastAsia="宋体" w:cs="宋体"/>
                <w:color w:val="auto"/>
                <w:sz w:val="24"/>
                <w:szCs w:val="24"/>
                <w:highlight w:val="none"/>
                <w:lang w:val="en-US" w:eastAsia="zh-CN" w:bidi="ar"/>
              </w:rPr>
              <w:t xml:space="preserve">常规苗木栽植密度不低于 100株/平方米，大钵容器苗（容器口径不小于120mm）可适当降低密度，但不得少于 81株/平方米，最终效果须达到黄土不裸露，景观饱满。</w:t>
            </w:r>
            <w:r>
              <w:rPr>
                <w:color w:val="auto"/>
                <w:highlight w:val="none"/>
              </w:rPr>
            </w:r>
            <w:r/>
          </w:p>
          <w:p>
            <w:pPr>
              <w:pStyle w:val="873"/>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③</w:t>
            </w:r>
            <w:r>
              <w:rPr>
                <w:rFonts w:hint="eastAsia" w:ascii="宋体" w:hAnsi="宋体" w:eastAsia="宋体" w:cs="宋体"/>
                <w:b/>
                <w:bCs/>
                <w:color w:val="auto"/>
                <w:sz w:val="24"/>
                <w:szCs w:val="24"/>
                <w:highlight w:val="none"/>
                <w:lang w:val="en-US" w:eastAsia="zh-CN"/>
              </w:rPr>
              <w:t xml:space="preserve">更换频次：</w:t>
            </w:r>
            <w:r>
              <w:rPr>
                <w:rFonts w:hint="eastAsia" w:ascii="宋体" w:hAnsi="宋体" w:eastAsia="宋体" w:cs="宋体"/>
                <w:color w:val="auto"/>
                <w:sz w:val="24"/>
                <w:szCs w:val="24"/>
                <w:highlight w:val="none"/>
                <w:lang w:val="en-US" w:eastAsia="zh-CN" w:bidi="ar"/>
              </w:rPr>
              <w:t xml:space="preserve">每年整体更换不少于4次，每更换一次须保证该批次草花在应季内的正常花期。投标总价须包含一年共4次更换的全部费用。</w:t>
            </w:r>
            <w:r>
              <w:rPr>
                <w:color w:val="auto"/>
                <w:highlight w:val="none"/>
              </w:rPr>
            </w:r>
            <w:r/>
          </w:p>
          <w:p>
            <w:pPr>
              <w:pStyle w:val="873"/>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④</w:t>
            </w:r>
            <w:r>
              <w:rPr>
                <w:rFonts w:hint="eastAsia" w:ascii="宋体" w:hAnsi="宋体" w:eastAsia="宋体" w:cs="宋体"/>
                <w:b/>
                <w:bCs/>
                <w:color w:val="auto"/>
                <w:sz w:val="24"/>
                <w:szCs w:val="24"/>
                <w:highlight w:val="none"/>
                <w:lang w:val="en-US" w:eastAsia="zh-CN"/>
              </w:rPr>
              <w:t xml:space="preserve">更换要求：</w:t>
            </w:r>
            <w:r>
              <w:rPr>
                <w:rFonts w:hint="eastAsia" w:ascii="宋体" w:hAnsi="宋体" w:eastAsia="宋体" w:cs="宋体"/>
                <w:color w:val="auto"/>
                <w:sz w:val="24"/>
                <w:szCs w:val="24"/>
                <w:highlight w:val="none"/>
                <w:lang w:val="en-US" w:eastAsia="zh-CN" w:bidi="ar"/>
              </w:rPr>
              <w:t xml:space="preserve">做好原有土地翻整、原有多余土方清理、清理原枯萎植物、原有凋谢草花清运、垃圾清运、栽植地精细化平整，栽植后负责全部后续养护管理。</w:t>
            </w:r>
            <w:r>
              <w:rPr>
                <w:color w:val="auto"/>
                <w:highlight w:val="none"/>
              </w:rPr>
            </w:r>
            <w:r/>
          </w:p>
          <w:p>
            <w:pPr>
              <w:pStyle w:val="873"/>
              <w:spacing w:line="0" w:lineRule="atLeas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b/>
                <w:bCs/>
                <w:color w:val="auto"/>
                <w:sz w:val="24"/>
                <w:szCs w:val="24"/>
                <w:highlight w:val="none"/>
                <w:lang w:val="en-US" w:eastAsia="zh-CN"/>
              </w:rPr>
              <w:t xml:space="preserve">种植方案编制与实施流程</w:t>
            </w:r>
            <w:r>
              <w:rPr>
                <w:color w:val="auto"/>
                <w:highlight w:val="none"/>
              </w:rPr>
            </w:r>
            <w:r/>
          </w:p>
          <w:p>
            <w:pPr>
              <w:pStyle w:val="873"/>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①中标人接到采购人通知后，7日内须完成并上报草花种植方案。方案内容须包含品种选择、规格、数量、色彩搭配、图案设计及具体种植时间节点。中标人方案需针对五一、国庆、春节等重要节假日，强化喜庆氛围渲染，图案设计须优美，色彩搭配须靓丽。</w:t>
            </w:r>
            <w:r>
              <w:rPr>
                <w:color w:val="auto"/>
                <w:highlight w:val="none"/>
              </w:rPr>
            </w:r>
            <w:r/>
          </w:p>
          <w:p>
            <w:pPr>
              <w:pStyle w:val="873"/>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②方案经采购人审核确认后，中标人须在 10日内完成清单内全部草花的种植任务，并与方案效果一致。</w:t>
            </w:r>
            <w:r>
              <w:rPr>
                <w:color w:val="auto"/>
                <w:highlight w:val="none"/>
              </w:rPr>
            </w:r>
            <w:r/>
          </w:p>
          <w:p>
            <w:pPr>
              <w:pStyle w:val="873"/>
              <w:spacing w:line="0" w:lineRule="atLeas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b/>
                <w:bCs/>
                <w:color w:val="auto"/>
                <w:sz w:val="24"/>
                <w:szCs w:val="24"/>
                <w:highlight w:val="none"/>
                <w:lang w:val="en-US" w:eastAsia="zh-CN"/>
              </w:rPr>
              <w:t xml:space="preserve">日常养护要求：</w:t>
            </w:r>
            <w:r>
              <w:rPr>
                <w:color w:val="auto"/>
                <w:highlight w:val="none"/>
              </w:rPr>
            </w:r>
            <w:r/>
          </w:p>
          <w:p>
            <w:pPr>
              <w:pStyle w:val="873"/>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①草花出现生长不健壮、叶片枯焦黄化面积达到该种植点10%的，5日内完成更换。</w:t>
            </w:r>
            <w:r>
              <w:rPr>
                <w:color w:val="auto"/>
                <w:highlight w:val="none"/>
              </w:rPr>
            </w:r>
            <w:r/>
          </w:p>
          <w:p>
            <w:pPr>
              <w:pStyle w:val="873"/>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②出现死亡、植株老化、瘦弱、明显光杆、萎蔫、开花率及花蕾覆盖度过低等情况，影响景观效果的，5日内完成更换。</w:t>
            </w:r>
            <w:r>
              <w:rPr>
                <w:color w:val="auto"/>
                <w:highlight w:val="none"/>
              </w:rPr>
            </w:r>
            <w:r/>
          </w:p>
          <w:p>
            <w:pPr>
              <w:pStyle w:val="873"/>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③种植区域内杂草须及时清除，清除的杂草必须日作日清，不得在现场堆积，不得影响花卉整体景观。</w:t>
            </w:r>
            <w:r>
              <w:rPr>
                <w:color w:val="auto"/>
                <w:highlight w:val="none"/>
              </w:rPr>
            </w:r>
            <w:r/>
          </w:p>
          <w:p>
            <w:pPr>
              <w:pStyle w:val="873"/>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④成品保护：栽植完成后须加强日常巡查与成品保护。因人为破坏或被盗导致影响整体效果的，5日内完成补植。</w:t>
            </w:r>
            <w:r>
              <w:rPr>
                <w:color w:val="auto"/>
                <w:highlight w:val="none"/>
              </w:rPr>
            </w:r>
            <w:r/>
          </w:p>
          <w:p>
            <w:pPr>
              <w:pStyle w:val="873"/>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⑤病虫害防治：须做好预防工作。若出现病虫害且经药物治理效果不佳的，5日内完成更换，并妥善处置带病植株。</w:t>
            </w:r>
            <w:r>
              <w:rPr>
                <w:color w:val="auto"/>
                <w:highlight w:val="none"/>
              </w:rPr>
            </w:r>
            <w:r/>
          </w:p>
          <w:p>
            <w:pPr>
              <w:pStyle w:val="873"/>
              <w:numPr>
                <w:ilvl w:val="0"/>
                <w:numId w:val="0"/>
              </w:num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（4）</w:t>
            </w:r>
            <w:r>
              <w:rPr>
                <w:rFonts w:hint="eastAsia" w:ascii="宋体" w:hAnsi="宋体" w:eastAsia="宋体" w:cs="宋体"/>
                <w:b/>
                <w:bCs/>
                <w:color w:val="auto"/>
                <w:sz w:val="24"/>
                <w:szCs w:val="24"/>
                <w:highlight w:val="none"/>
                <w:lang w:val="en-US" w:eastAsia="zh-CN"/>
              </w:rPr>
              <w:t xml:space="preserve">面积计量：</w:t>
            </w:r>
            <w:r>
              <w:rPr>
                <w:rFonts w:hint="eastAsia" w:ascii="宋体" w:hAnsi="宋体" w:eastAsia="宋体" w:cs="宋体"/>
                <w:color w:val="auto"/>
                <w:sz w:val="24"/>
                <w:szCs w:val="24"/>
                <w:highlight w:val="none"/>
                <w:lang w:val="en-US" w:eastAsia="zh-CN" w:bidi="ar"/>
              </w:rPr>
              <w:t xml:space="preserve">四季草花更换最终结算以招标清单载明的四季草花面积为唯一计量依据。每次更换作业，须由现场监理人员全程旁站见证、核实作业面积及施工质量，留存影像资料。若现场实际种植、更换面积较清单面积出现缩减，结算时按现场实际合格作业面积据实扣减对应服务费用。</w:t>
            </w:r>
            <w:r>
              <w:rPr>
                <w:color w:val="auto"/>
                <w:highlight w:val="none"/>
              </w:rPr>
            </w:r>
            <w:r/>
          </w:p>
          <w:p>
            <w:pPr>
              <w:pStyle w:val="873"/>
              <w:spacing w:line="0" w:lineRule="atLeast"/>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u w:val="none"/>
                <w:lang w:val="en-US" w:eastAsia="zh-CN" w:bidi="ar"/>
              </w:rPr>
              <w:t xml:space="preserve">（5）</w:t>
            </w:r>
            <w:r>
              <w:rPr>
                <w:rFonts w:hint="eastAsia" w:ascii="宋体" w:hAnsi="宋体" w:eastAsia="宋体" w:cs="宋体"/>
                <w:b/>
                <w:bCs/>
                <w:color w:val="auto"/>
                <w:sz w:val="24"/>
                <w:szCs w:val="24"/>
                <w:highlight w:val="none"/>
                <w:lang w:val="en-US" w:eastAsia="zh-CN"/>
              </w:rPr>
              <w:t xml:space="preserve">上述所有条款全部工作内容（含巡查、材料、人工、机械、运输、安全防护、应急处置、补植更新、管理费、利润、税金及一切风险、不可预见费用等）全部费用包含在投标人投标报价内。请投标人自行了解项目现场、服务标准及全部采购要求，做出投标报价。中标后，采购人不再另行增加、追加任何费用。因投标人因失误、漏项、错报、理解偏差导致的履约风险费用，均由中标人自行承担。</w:t>
            </w:r>
            <w:r>
              <w:rPr>
                <w:color w:val="auto"/>
                <w:highlight w:val="none"/>
              </w:rPr>
            </w:r>
            <w:r/>
          </w:p>
        </w:tc>
      </w:tr>
    </w:tbl>
    <w:p>
      <w:pPr>
        <w:pStyle w:val="873"/>
        <w:numPr>
          <w:ilvl w:val="0"/>
          <w:numId w:val="0"/>
        </w:numPr>
        <w:spacing w:line="0" w:lineRule="atLeast"/>
        <w:rPr>
          <w:rFonts w:hint="eastAsia" w:ascii="宋体" w:hAnsi="宋体" w:eastAsia="宋体" w:cs="宋体"/>
          <w:b w:val="0"/>
          <w:bCs w:val="0"/>
          <w:color w:val="auto"/>
          <w:spacing w:val="0"/>
          <w:sz w:val="24"/>
          <w:szCs w:val="24"/>
          <w:highlight w:val="none"/>
        </w:rPr>
      </w:pPr>
      <w:r>
        <w:rPr>
          <w:rFonts w:hint="eastAsia" w:ascii="宋体" w:hAnsi="宋体" w:eastAsia="宋体" w:cs="宋体"/>
          <w:b w:val="0"/>
          <w:bCs w:val="0"/>
          <w:color w:val="auto"/>
          <w:spacing w:val="0"/>
          <w:sz w:val="24"/>
          <w:szCs w:val="24"/>
          <w:highlight w:val="none"/>
          <w:lang w:eastAsia="zh-CN"/>
        </w:rPr>
      </w:r>
      <w:r>
        <w:rPr>
          <w:color w:val="auto"/>
          <w:highlight w:val="none"/>
        </w:rPr>
      </w:r>
      <w:r/>
    </w:p>
    <w:p>
      <w:pPr>
        <w:pStyle w:val="873"/>
        <w:spacing w:line="0" w:lineRule="atLeast"/>
        <w:rPr>
          <w:rFonts w:hint="eastAsia" w:ascii="宋体" w:hAnsi="宋体" w:eastAsia="宋体" w:cs="宋体"/>
          <w:b w:val="0"/>
          <w:bCs w:val="0"/>
          <w:color w:val="auto"/>
          <w:spacing w:val="0"/>
          <w:sz w:val="24"/>
          <w:szCs w:val="24"/>
          <w:highlight w:val="none"/>
        </w:rPr>
      </w:pPr>
      <w:r>
        <w:rPr>
          <w:rFonts w:hint="eastAsia" w:ascii="宋体" w:hAnsi="宋体" w:eastAsia="宋体" w:cs="宋体"/>
          <w:b w:val="0"/>
          <w:bCs w:val="0"/>
          <w:color w:val="auto"/>
          <w:spacing w:val="0"/>
          <w:sz w:val="24"/>
          <w:szCs w:val="24"/>
          <w:highlight w:val="none"/>
          <w:lang w:val="en-US" w:eastAsia="zh-CN"/>
        </w:rPr>
        <w:t xml:space="preserve">4.</w:t>
      </w:r>
      <w:r>
        <w:rPr>
          <w:rFonts w:hint="eastAsia" w:ascii="宋体" w:hAnsi="宋体" w:eastAsia="宋体" w:cs="宋体"/>
          <w:b w:val="0"/>
          <w:bCs w:val="0"/>
          <w:color w:val="auto"/>
          <w:spacing w:val="0"/>
          <w:sz w:val="24"/>
          <w:szCs w:val="24"/>
          <w:highlight w:val="none"/>
          <w:lang w:eastAsia="zh-CN"/>
        </w:rPr>
        <w:t xml:space="preserve">六合经济开发区2026-2027年度二片区园林绿化养护项目</w:t>
      </w:r>
      <w:r>
        <w:rPr>
          <w:rFonts w:hint="eastAsia" w:ascii="宋体" w:hAnsi="宋体" w:eastAsia="宋体" w:cs="宋体"/>
          <w:b w:val="0"/>
          <w:bCs w:val="0"/>
          <w:color w:val="auto"/>
          <w:spacing w:val="0"/>
          <w:sz w:val="24"/>
          <w:szCs w:val="24"/>
          <w:highlight w:val="none"/>
        </w:rPr>
        <w:t xml:space="preserve">（其他服务事项内容及要求）</w:t>
      </w:r>
      <w:r>
        <w:rPr>
          <w:color w:val="auto"/>
          <w:highlight w:val="none"/>
        </w:rPr>
      </w:r>
      <w:r/>
    </w:p>
    <w:tbl>
      <w:tblPr>
        <w:tblW w:w="0" w:type="auto"/>
        <w:tblInd w:w="-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36"/>
      </w:tblGrid>
      <w:tr>
        <w:trPr>
          <w:trHeight w:val="346"/>
        </w:trPr>
        <w:tc>
          <w:tcPr>
            <w:tcW w:w="10136" w:type="dxa"/>
            <w:vAlign w:val="top"/>
            <w:textDirection w:val="lrTb"/>
            <w:noWrap w:val="false"/>
          </w:tcPr>
          <w:p>
            <w:pPr>
              <w:pStyle w:val="873"/>
              <w:jc w:val="left"/>
              <w:keepLines w:val="0"/>
              <w:keepNext w:val="0"/>
              <w:spacing w:line="0" w:lineRule="atLeast"/>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b/>
                <w:bCs/>
                <w:color w:val="auto"/>
                <w:sz w:val="24"/>
                <w:szCs w:val="24"/>
                <w:highlight w:val="none"/>
                <w:lang w:val="en-US" w:eastAsia="zh-CN"/>
              </w:rPr>
              <w:t xml:space="preserve">精细化养护、四季防护及病虫害综合防控管理</w:t>
            </w:r>
            <w:r>
              <w:rPr>
                <w:color w:val="auto"/>
                <w:highlight w:val="none"/>
              </w:rPr>
            </w:r>
            <w:r/>
          </w:p>
          <w:p>
            <w:pPr>
              <w:pStyle w:val="873"/>
              <w:jc w:val="left"/>
              <w:keepLines w:val="0"/>
              <w:keepNext w:val="0"/>
              <w:spacing w:line="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①</w:t>
            </w:r>
            <w:r>
              <w:rPr>
                <w:rFonts w:hint="eastAsia" w:ascii="宋体" w:hAnsi="宋体" w:eastAsia="宋体" w:cs="宋体"/>
                <w:b/>
                <w:bCs/>
                <w:color w:val="auto"/>
                <w:sz w:val="24"/>
                <w:szCs w:val="24"/>
                <w:highlight w:val="none"/>
                <w:lang w:val="en-US" w:eastAsia="zh-CN"/>
              </w:rPr>
              <w:t xml:space="preserve">水分浇灌管理：</w:t>
            </w:r>
            <w:r>
              <w:rPr>
                <w:rFonts w:hint="eastAsia" w:ascii="宋体" w:hAnsi="宋体" w:eastAsia="宋体" w:cs="宋体"/>
                <w:color w:val="auto"/>
                <w:sz w:val="24"/>
                <w:szCs w:val="24"/>
                <w:highlight w:val="none"/>
                <w:lang w:val="en-US" w:eastAsia="zh-CN" w:bidi="ar"/>
              </w:rPr>
              <w:t xml:space="preserve">严格按照规范开展常态化浇灌作业，重点对立交桥、高架桥下无雨水区域开展专项补水。根据季节及天气动态调整浇灌频次，春季为易旱树种喷施抗蒸腾剂，冬季浇灌防冻水，早春浇灌返青水；干旱天气全面加密浇水频次，保障苗木正常生长。新植乔木需充足灌溉，干旱季节每日早晚缓流浇透，严禁漫灌。养护所用再生水须符合园林灌溉水质标准，全程保障苗木长势稳定。</w:t>
            </w:r>
            <w:r>
              <w:rPr>
                <w:color w:val="auto"/>
                <w:highlight w:val="none"/>
              </w:rPr>
            </w:r>
            <w:r/>
          </w:p>
          <w:p>
            <w:pPr>
              <w:pStyle w:val="873"/>
              <w:jc w:val="left"/>
              <w:keepLines w:val="0"/>
              <w:keepNext w:val="0"/>
              <w:spacing w:line="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②</w:t>
            </w:r>
            <w:r>
              <w:rPr>
                <w:rFonts w:hint="eastAsia" w:ascii="宋体" w:hAnsi="宋体" w:eastAsia="宋体" w:cs="宋体"/>
                <w:b/>
                <w:bCs/>
                <w:color w:val="auto"/>
                <w:sz w:val="24"/>
                <w:szCs w:val="24"/>
                <w:highlight w:val="none"/>
                <w:lang w:val="en-US" w:eastAsia="zh-CN"/>
              </w:rPr>
              <w:t xml:space="preserve">科学施肥养护作业：</w:t>
            </w:r>
            <w:r>
              <w:rPr>
                <w:rFonts w:hint="eastAsia" w:ascii="宋体" w:hAnsi="宋体" w:eastAsia="宋体" w:cs="宋体"/>
                <w:color w:val="auto"/>
                <w:sz w:val="24"/>
                <w:szCs w:val="24"/>
                <w:highlight w:val="none"/>
                <w:lang w:val="en-US" w:eastAsia="zh-CN" w:bidi="ar"/>
              </w:rPr>
              <w:t xml:space="preserve">结合苗木长势、季节变化及采购人工作要求，规范开展施肥作业，改良土壤、增强树势。同步建立施肥专项台账，详实记录作业时间、区域、苗木品类、肥料用量、作业人员及机械投入等信息，留存作业影像并统一归档。施肥作业产生的人工、材料、机械等全部费用，均包含在投标报价内，采购人不另行增费。</w:t>
            </w:r>
            <w:r>
              <w:rPr>
                <w:color w:val="auto"/>
                <w:highlight w:val="none"/>
              </w:rPr>
            </w:r>
            <w:r/>
          </w:p>
          <w:p>
            <w:pPr>
              <w:pStyle w:val="873"/>
              <w:jc w:val="left"/>
              <w:keepLines w:val="0"/>
              <w:keepNext w:val="0"/>
              <w:spacing w:line="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③</w:t>
            </w:r>
            <w:r>
              <w:rPr>
                <w:rFonts w:hint="eastAsia" w:ascii="宋体" w:hAnsi="宋体" w:eastAsia="宋体" w:cs="宋体"/>
                <w:b/>
                <w:bCs/>
                <w:color w:val="auto"/>
                <w:sz w:val="24"/>
                <w:szCs w:val="24"/>
                <w:highlight w:val="none"/>
                <w:lang w:val="en-US" w:eastAsia="zh-CN"/>
              </w:rPr>
              <w:t xml:space="preserve">中耕松土、除草及违规开垦整治作业：</w:t>
            </w:r>
            <w:r>
              <w:rPr>
                <w:rFonts w:hint="eastAsia" w:ascii="宋体" w:hAnsi="宋体" w:eastAsia="宋体" w:cs="宋体"/>
                <w:color w:val="auto"/>
                <w:sz w:val="24"/>
                <w:szCs w:val="24"/>
                <w:highlight w:val="none"/>
                <w:lang w:val="en-US" w:eastAsia="zh-CN" w:bidi="ar"/>
              </w:rPr>
              <w:t xml:space="preserve">定期开展全域土壤松土除草作业，树穴、树带年度松土，松土深</w:t>
            </w:r>
            <w:r>
              <w:rPr>
                <w:rFonts w:hint="eastAsia" w:ascii="宋体" w:hAnsi="宋体" w:eastAsia="宋体" w:cs="宋体"/>
                <w:color w:val="auto"/>
                <w:sz w:val="24"/>
                <w:szCs w:val="24"/>
                <w:highlight w:val="none"/>
                <w:lang w:val="en-US" w:eastAsia="zh-CN" w:bidi="ar"/>
              </w:rPr>
              <w:t xml:space="preserve">度控制在5-10厘米，作业时规避损伤苗木大根，杜绝土壤板结。全面清除养护区域内各类杂草，重点彻底清理菟丝子、葎草等恶性杂草，保持树穴及周边土壤疏松整洁，避免杂草争肥、破坏景观效果及滋生病虫害。常态化排查养护片区绿化带，及时清理区域内私自开垦菜地、私自种植农作物等违规侵占绿化行为，彻底清理违规种植植被、规整场地、恢复原有绿化原貌及绿地功能。因清理违规菜地、恢复绿化作业引发的矛盾、纠纷、第三方损失及全部赔偿责任，均由中标人自行承担，所有清理、整改、复原人工及物料费用全部包干，包含在投标报价内，采购人不另行增费。</w:t>
            </w:r>
            <w:r>
              <w:rPr>
                <w:color w:val="auto"/>
                <w:highlight w:val="none"/>
              </w:rPr>
            </w:r>
            <w:r/>
          </w:p>
          <w:p>
            <w:pPr>
              <w:pStyle w:val="873"/>
              <w:jc w:val="left"/>
              <w:keepLines w:val="0"/>
              <w:keepNext w:val="0"/>
              <w:spacing w:line="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④</w:t>
            </w:r>
            <w:r>
              <w:rPr>
                <w:rFonts w:hint="eastAsia" w:ascii="宋体" w:hAnsi="宋体" w:eastAsia="宋体" w:cs="宋体"/>
                <w:b/>
                <w:bCs/>
                <w:color w:val="auto"/>
                <w:sz w:val="24"/>
                <w:szCs w:val="24"/>
                <w:highlight w:val="none"/>
                <w:lang w:val="en-US" w:eastAsia="zh-CN"/>
              </w:rPr>
              <w:t xml:space="preserve">冬季防护、裹干与支撑管护：</w:t>
            </w:r>
            <w:r>
              <w:rPr>
                <w:rFonts w:hint="eastAsia" w:ascii="宋体" w:hAnsi="宋体" w:eastAsia="宋体" w:cs="宋体"/>
                <w:color w:val="auto"/>
                <w:sz w:val="24"/>
                <w:szCs w:val="24"/>
                <w:highlight w:val="none"/>
                <w:lang w:val="en-US" w:eastAsia="zh-CN" w:bidi="ar"/>
              </w:rPr>
              <w:t xml:space="preserve">每年10月至12月统一开展苗木冬季防护作业，其中树干涂白工作集中在10月下旬至11月中旬实施，涂白剂须配比石硫合剂，大乔木涂白高度控制在1.0-1.2米，涂刷均匀、无流挂，达到防虫、防冻、防晒、防病的养护效果；对雪松、悬铃木等不耐寒树种，需采取主干缠干、搭设风障等专项防寒措施。及时拆除风化、腐烂、损毁失效的草绳、无纺布等防护材料；对长势较弱、处于成活养护期的苗木，按需更换全新草绳、无纺布。新植行道树须规范设置支撑防护，胸径8厘米及以下苗木采用扁担桩</w:t>
            </w:r>
            <w:r>
              <w:rPr>
                <w:rFonts w:hint="eastAsia" w:ascii="宋体" w:hAnsi="宋体" w:eastAsia="宋体" w:cs="宋体"/>
                <w:color w:val="auto"/>
                <w:sz w:val="24"/>
                <w:szCs w:val="24"/>
                <w:highlight w:val="none"/>
                <w:lang w:val="en-US" w:eastAsia="zh-CN" w:bidi="ar"/>
              </w:rPr>
              <w:t xml:space="preserve">或三角支撑，8厘米以上苗木采用四角钢管支撑，支撑点位必须加装软垫防护。养护期内常态化排查、加固全域苗木支撑设施，每年不少于1-2次检查绑扎部位，及时紧固松动结构、修复更换破损损毁构件，并定期对钢管支撑涂刷绿色防腐油漆（做好地面、水面防护，杜绝油漆滴落污染）。逐步将传统紧固铁丝分批更换为不锈钢圈箍，根据苗木生长周期动态调整紧固力度，杜绝锈蚀勒伤树干。栽植2-3年且根系长势稳定的苗木，可适时拆除支撑；苗木出现倾斜、空腐、损伤等安全隐患时，须及时新增钢管支撑加固，所有相关费用均包含在投标报价内，采购人不另行增费。</w:t>
            </w:r>
            <w:r>
              <w:rPr>
                <w:color w:val="auto"/>
                <w:highlight w:val="none"/>
              </w:rPr>
            </w:r>
            <w:r/>
          </w:p>
          <w:p>
            <w:pPr>
              <w:pStyle w:val="873"/>
              <w:jc w:val="left"/>
              <w:keepLines w:val="0"/>
              <w:keepNext w:val="0"/>
              <w:spacing w:line="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⑤</w:t>
            </w:r>
            <w:r>
              <w:rPr>
                <w:rFonts w:hint="eastAsia" w:ascii="宋体" w:hAnsi="宋体" w:eastAsia="宋体" w:cs="宋体"/>
                <w:b/>
                <w:bCs/>
                <w:color w:val="auto"/>
                <w:sz w:val="24"/>
                <w:szCs w:val="24"/>
                <w:highlight w:val="none"/>
                <w:lang w:val="en-US" w:eastAsia="zh-CN"/>
              </w:rPr>
              <w:t xml:space="preserve">全域四季防护与低洼地排涝管控：</w:t>
            </w:r>
            <w:r>
              <w:rPr>
                <w:rFonts w:hint="eastAsia" w:ascii="宋体" w:hAnsi="宋体" w:eastAsia="宋体" w:cs="宋体"/>
                <w:color w:val="auto"/>
                <w:sz w:val="24"/>
                <w:szCs w:val="24"/>
                <w:highlight w:val="none"/>
                <w:lang w:val="en-US" w:eastAsia="zh-CN" w:bidi="ar"/>
              </w:rPr>
              <w:t xml:space="preserve">中标人须全面落实冬季防寒、雨季防涝防台、夏季高温防旱、极端恶劣天气防护、全域积雪清除工作，涵盖树木枝叶、园区道路、路面、绿化带积雪、结冰清理等全部内容，全面规避景观破损、安全事故风险。对养护范围内低洼绿地，按需设置排水沟、打孔透气排涝，严格把控积水处置时限：区域积水处置时长不超过12小时，林地积水排空时长不超过24小时；重点窗口地带积水处置时长不超过2小时。雨后及时对水淹林地消毒杀菌，预防根系腐烂。</w:t>
            </w:r>
            <w:r>
              <w:rPr>
                <w:color w:val="auto"/>
                <w:highlight w:val="none"/>
              </w:rPr>
            </w:r>
            <w:r/>
          </w:p>
          <w:p>
            <w:pPr>
              <w:pStyle w:val="873"/>
              <w:jc w:val="left"/>
              <w:keepLines w:val="0"/>
              <w:keepNext w:val="0"/>
              <w:spacing w:line="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⑥</w:t>
            </w:r>
            <w:r>
              <w:rPr>
                <w:rFonts w:hint="eastAsia" w:ascii="宋体" w:hAnsi="宋体" w:eastAsia="宋体" w:cs="宋体"/>
                <w:b/>
                <w:bCs/>
                <w:color w:val="auto"/>
                <w:sz w:val="24"/>
                <w:szCs w:val="24"/>
                <w:highlight w:val="none"/>
                <w:lang w:val="en-US" w:eastAsia="zh-CN"/>
              </w:rPr>
              <w:t xml:space="preserve">病虫害综合防控规范：</w:t>
            </w:r>
            <w:r>
              <w:rPr>
                <w:rFonts w:hint="eastAsia" w:ascii="宋体" w:hAnsi="宋体" w:eastAsia="宋体" w:cs="宋体"/>
                <w:color w:val="auto"/>
                <w:sz w:val="24"/>
                <w:szCs w:val="24"/>
                <w:highlight w:val="none"/>
                <w:lang w:val="en-US" w:eastAsia="zh-CN" w:bidi="ar"/>
              </w:rPr>
              <w:t xml:space="preserve">严格遵循“预防为主、综合防治”的管护原则，每月开展不少于一次全域病虫害专项巡查，常态化落</w:t>
            </w:r>
            <w:r>
              <w:rPr>
                <w:rFonts w:hint="eastAsia" w:ascii="宋体" w:hAnsi="宋体" w:eastAsia="宋体" w:cs="宋体"/>
                <w:color w:val="auto"/>
                <w:sz w:val="24"/>
                <w:szCs w:val="24"/>
                <w:highlight w:val="none"/>
                <w:lang w:val="en-US" w:eastAsia="zh-CN" w:bidi="ar"/>
              </w:rPr>
              <w:t xml:space="preserve">实苗木病虫监测与养护管控工作。防控方式以物理防治、生物防治为主，化学防治为辅，科学轮换使用合规药剂，避免病虫害产生抗药性；施药作业避开高温及人流高峰时段，重点对叶背、根茎等薄弱部位精准喷施，杜绝药害问题。作业严禁使用国家明令禁止的剧毒、高残留药剂，优先选用环保型生物农药。日常重点防控蚧壳虫、蚜虫、天牛、刺蛾、美国白蛾、叶螨、地下害虫、木虱、钻蛀性害虫、白蚁、木蠹蛾、黄杨绢野螟、国槐尺蠖等虫害，以及白粉病、锈病、流胶病、煤污病、腐烂病等园林常见病害。发现危险性病虫害须第一时间上报并彻底扑灭，修剪产生的病枝按照</w:t>
            </w:r>
            <w:r>
              <w:rPr>
                <w:rFonts w:hint="eastAsia" w:ascii="宋体" w:hAnsi="宋体" w:eastAsia="宋体" w:cs="宋体"/>
                <w:color w:val="auto"/>
                <w:sz w:val="24"/>
                <w:szCs w:val="24"/>
                <w:highlight w:val="none"/>
              </w:rPr>
              <w:t xml:space="preserve">《绿化植物废弃物处置和应用技术规程》</w:t>
            </w:r>
            <w:r>
              <w:rPr>
                <w:rFonts w:hint="eastAsia" w:ascii="宋体" w:hAnsi="宋体" w:eastAsia="宋体" w:cs="宋体"/>
                <w:color w:val="auto"/>
                <w:sz w:val="24"/>
                <w:szCs w:val="24"/>
                <w:highlight w:val="none"/>
                <w:lang w:val="en-US" w:eastAsia="zh-CN"/>
              </w:rPr>
              <w:t xml:space="preserve">要求</w:t>
            </w:r>
            <w:r>
              <w:rPr>
                <w:rFonts w:hint="eastAsia" w:ascii="宋体" w:hAnsi="宋体" w:eastAsia="宋体" w:cs="宋体"/>
                <w:color w:val="auto"/>
                <w:sz w:val="24"/>
                <w:szCs w:val="24"/>
                <w:highlight w:val="none"/>
                <w:lang w:val="en-US" w:eastAsia="zh-CN" w:bidi="ar"/>
              </w:rPr>
              <w:t xml:space="preserve">统一采用高温堆肥方式无害化处理，严禁随意焚烧、填埋；</w:t>
            </w:r>
            <w:r>
              <w:rPr>
                <w:rFonts w:hint="eastAsia" w:ascii="宋体" w:hAnsi="宋体" w:eastAsia="宋体" w:cs="宋体"/>
                <w:color w:val="auto"/>
                <w:sz w:val="24"/>
                <w:szCs w:val="24"/>
                <w:highlight w:val="none"/>
              </w:rPr>
              <w:t xml:space="preserve">高风险疫木（如松材线虫病枝），严禁仅用堆肥，必须专用除害处理</w:t>
            </w:r>
            <w:r>
              <w:rPr>
                <w:rFonts w:hint="eastAsia" w:ascii="宋体" w:hAnsi="宋体" w:eastAsia="宋体" w:cs="宋体"/>
                <w:color w:val="auto"/>
                <w:sz w:val="24"/>
                <w:szCs w:val="24"/>
                <w:highlight w:val="none"/>
                <w:lang w:val="en-US" w:eastAsia="zh-CN" w:bidi="ar"/>
              </w:rPr>
              <w:t xml:space="preserve">。针对天牛等蛀干害虫，可采用释放肿腿蜂、花绒寄甲等天敌方式开展生物防治，通过强化苗木检疫、合理修剪通风、培育健壮树势，从源头降低病虫害发生率，所有生物防治所需物资、人工、技术及运维费用均包含在投标报价内，采购人不另行增加费用。全程规范建立病虫害防治专项台账，确保作业记录真实完整，保障全域苗木无重大病虫害发生。</w:t>
            </w:r>
            <w:r>
              <w:rPr>
                <w:color w:val="auto"/>
                <w:highlight w:val="none"/>
              </w:rPr>
            </w:r>
            <w:r/>
          </w:p>
          <w:p>
            <w:pPr>
              <w:pStyle w:val="873"/>
              <w:jc w:val="left"/>
              <w:keepLines w:val="0"/>
              <w:keepNext w:val="0"/>
              <w:spacing w:line="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⑦</w:t>
            </w:r>
            <w:r>
              <w:rPr>
                <w:rFonts w:hint="eastAsia" w:ascii="宋体" w:hAnsi="宋体" w:eastAsia="宋体" w:cs="宋体"/>
                <w:b/>
                <w:bCs/>
                <w:color w:val="auto"/>
                <w:sz w:val="24"/>
                <w:szCs w:val="24"/>
                <w:highlight w:val="none"/>
                <w:lang w:val="en-US" w:eastAsia="zh-CN"/>
              </w:rPr>
              <w:t xml:space="preserve">飞絮专项治理：</w:t>
            </w:r>
            <w:r>
              <w:rPr>
                <w:rFonts w:hint="eastAsia" w:ascii="宋体" w:hAnsi="宋体" w:eastAsia="宋体" w:cs="宋体"/>
                <w:color w:val="auto"/>
                <w:sz w:val="24"/>
                <w:szCs w:val="24"/>
                <w:highlight w:val="none"/>
                <w:lang w:val="en-US" w:eastAsia="zh-CN" w:bidi="ar"/>
              </w:rPr>
              <w:t xml:space="preserve">针对法桐、柳树、杨树等飘絮问题，中标人需编制专项治理方案，上报采购人审批同意后实施药剂喷洒（悬铃散等）治理，所有方案编制、药剂、人工、机械、措施费用均包含在投标报价内，采购人不另行增费。</w:t>
            </w:r>
            <w:r>
              <w:rPr>
                <w:color w:val="auto"/>
                <w:highlight w:val="none"/>
              </w:rPr>
            </w:r>
            <w:r/>
          </w:p>
          <w:p>
            <w:pPr>
              <w:pStyle w:val="873"/>
              <w:jc w:val="left"/>
              <w:keepLines w:val="0"/>
              <w:keepNext w:val="0"/>
              <w:spacing w:line="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⑧</w:t>
            </w:r>
            <w:r>
              <w:rPr>
                <w:rFonts w:hint="eastAsia" w:ascii="宋体" w:hAnsi="宋体" w:eastAsia="宋体" w:cs="宋体"/>
                <w:b/>
                <w:bCs/>
                <w:color w:val="auto"/>
                <w:sz w:val="24"/>
                <w:szCs w:val="24"/>
                <w:highlight w:val="none"/>
                <w:lang w:val="en-US" w:eastAsia="zh-CN"/>
              </w:rPr>
              <w:t xml:space="preserve">落叶专项精细化清扫保洁：</w:t>
            </w:r>
            <w:r>
              <w:rPr>
                <w:rFonts w:hint="eastAsia" w:ascii="宋体" w:hAnsi="宋体" w:eastAsia="宋体" w:cs="宋体"/>
                <w:color w:val="auto"/>
                <w:sz w:val="24"/>
                <w:szCs w:val="24"/>
                <w:highlight w:val="none"/>
                <w:lang w:val="en-US" w:eastAsia="zh-CN" w:bidi="ar"/>
              </w:rPr>
              <w:t xml:space="preserve">本项目管养范围不含道路及人行道落叶清扫工作，仅负责</w:t>
            </w:r>
            <w:r>
              <w:rPr>
                <w:rFonts w:hint="eastAsia" w:ascii="宋体" w:hAnsi="宋体" w:eastAsia="宋体" w:cs="宋体"/>
                <w:color w:val="auto"/>
                <w:sz w:val="24"/>
                <w:szCs w:val="24"/>
                <w:highlight w:val="none"/>
                <w:lang w:val="en-US" w:eastAsia="zh-CN" w:bidi="ar"/>
              </w:rPr>
              <w:t xml:space="preserve">养护片区内绿地、绿篱及植被区域的落叶精细化保洁作业。需定期清理绿地、绿篱内腐烂、污染、堆积过厚的落叶，保障绿化区域整洁美观，杜绝落叶堆积滋生杂草、病虫害及引发安全隐患。大风、降雨等特殊天气过后，须加密绿地、绿篱区域落叶清扫频次、调整作业时段，高效清理积存落叶。成片小灌木、片植绿篱区域以人工作业为主，选用木耙、推铲等专用工具作业，最大限度减少植株损伤。所有清理的落叶须全部装袋密闭运输，杜绝二次污染，做到随扫随清、日产日清。严禁焚烧落叶、向下水道倾倒落叶，干燥天气重点加大绿地落叶清扫力度，防范落叶堆积引发火灾。</w:t>
            </w:r>
            <w:r>
              <w:rPr>
                <w:color w:val="auto"/>
                <w:highlight w:val="none"/>
              </w:rPr>
            </w:r>
            <w:r/>
          </w:p>
          <w:p>
            <w:pPr>
              <w:pStyle w:val="873"/>
              <w:jc w:val="left"/>
              <w:keepLines w:val="0"/>
              <w:keepNext w:val="0"/>
              <w:spacing w:line="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⑨</w:t>
            </w:r>
            <w:r>
              <w:rPr>
                <w:rFonts w:hint="eastAsia" w:ascii="宋体" w:hAnsi="宋体" w:eastAsia="宋体" w:cs="宋体"/>
                <w:b/>
                <w:bCs/>
                <w:color w:val="auto"/>
                <w:sz w:val="24"/>
                <w:szCs w:val="24"/>
                <w:highlight w:val="none"/>
                <w:lang w:val="en-US" w:eastAsia="zh-CN"/>
              </w:rPr>
              <w:t xml:space="preserve">园林垃圾规范清运：</w:t>
            </w:r>
            <w:r>
              <w:rPr>
                <w:rFonts w:hint="eastAsia" w:ascii="宋体" w:hAnsi="宋体" w:eastAsia="宋体" w:cs="宋体"/>
                <w:color w:val="auto"/>
                <w:sz w:val="24"/>
                <w:szCs w:val="24"/>
                <w:highlight w:val="none"/>
                <w:lang w:val="en-US" w:eastAsia="zh-CN" w:bidi="ar"/>
              </w:rPr>
              <w:t xml:space="preserve">养护作业产生的园林垃圾、绿化带杂物、石块等废弃物须及时清理、日产日清。采购人不提供垃圾堆放、倾倒场地，由中标人自行解决垃圾存放、清运、处置事宜。严禁焚烧垃圾、就地粉碎摊撒处理，所有园林垃圾必须运送至园林主管部门认可的专业回收处理站点完成无害化处置，全程留存处理照片、场地租赁协议、处置台账等资料。</w:t>
            </w:r>
            <w:r>
              <w:rPr>
                <w:color w:val="auto"/>
                <w:highlight w:val="none"/>
              </w:rPr>
            </w:r>
            <w:r/>
          </w:p>
          <w:p>
            <w:pPr>
              <w:pStyle w:val="873"/>
              <w:jc w:val="left"/>
              <w:keepLines w:val="0"/>
              <w:keepNext w:val="0"/>
              <w:spacing w:line="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⑩</w:t>
            </w:r>
            <w:r>
              <w:rPr>
                <w:rFonts w:hint="eastAsia" w:ascii="宋体" w:hAnsi="宋体" w:eastAsia="宋体" w:cs="宋体"/>
                <w:b/>
                <w:bCs/>
                <w:color w:val="auto"/>
                <w:sz w:val="24"/>
                <w:szCs w:val="24"/>
                <w:highlight w:val="none"/>
                <w:lang w:val="en-US" w:eastAsia="zh-CN"/>
              </w:rPr>
              <w:t xml:space="preserve">警示标识与作业围挡管护：</w:t>
            </w:r>
            <w:r>
              <w:rPr>
                <w:rFonts w:hint="eastAsia" w:ascii="宋体" w:hAnsi="宋体" w:eastAsia="宋体" w:cs="宋体"/>
                <w:color w:val="auto"/>
                <w:sz w:val="24"/>
                <w:szCs w:val="24"/>
                <w:highlight w:val="none"/>
                <w:lang w:val="en-US" w:eastAsia="zh-CN" w:bidi="ar"/>
              </w:rPr>
              <w:t xml:space="preserve">中标人自行采购、制作、安装、维护全域养护区域的各类告示牌、警示牌、作业围挡，全部费用自理、包含在投标报价内。需布设文明管护告示牌（禁止宠物入园、禁止攀爬树木、禁止踩踏苗木、禁止采摘花果、禁止戏水、禁止设施洗车、禁止绿化带停车、禁止晾晒等）、安全警示牌（农药喷洒警示、湿滑警示、洒水作业警示等）。</w:t>
            </w:r>
            <w:r>
              <w:rPr>
                <w:color w:val="auto"/>
                <w:highlight w:val="none"/>
              </w:rPr>
            </w:r>
            <w:r/>
          </w:p>
          <w:p>
            <w:pPr>
              <w:pStyle w:val="873"/>
              <w:jc w:val="left"/>
              <w:keepLines w:val="0"/>
              <w:keepNext w:val="0"/>
              <w:spacing w:line="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现场作业按需规范搭设安全围挡，做好隔离防护，及时清洁、扶正、更换破损、脏污、缺失的围挡及标牌，确保牢固规整、标识清晰。因标牌、围挡管护缺失引发的安全纠纷、人员损伤、经济损失，全部由中标人承担。</w:t>
            </w:r>
            <w:r>
              <w:rPr>
                <w:color w:val="auto"/>
                <w:highlight w:val="none"/>
              </w:rPr>
            </w:r>
            <w:r/>
          </w:p>
          <w:p>
            <w:pPr>
              <w:pStyle w:val="873"/>
              <w:jc w:val="left"/>
              <w:keepLines w:val="0"/>
              <w:keepNext w:val="0"/>
              <w:spacing w:line="0" w:lineRule="atLeast"/>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CN" w:bidi="ar"/>
              </w:rPr>
              <w:t xml:space="preserve">⑪</w:t>
            </w:r>
            <w:r>
              <w:rPr>
                <w:rFonts w:hint="eastAsia" w:ascii="宋体" w:hAnsi="宋体" w:eastAsia="宋体" w:cs="宋体"/>
                <w:b/>
                <w:bCs/>
                <w:color w:val="auto"/>
                <w:sz w:val="24"/>
                <w:szCs w:val="24"/>
                <w:highlight w:val="none"/>
                <w:lang w:val="en-US" w:eastAsia="zh-CN"/>
              </w:rPr>
              <w:t xml:space="preserve">绿地裸露线管规整埋设管护：</w:t>
            </w:r>
            <w:r>
              <w:rPr>
                <w:rFonts w:hint="eastAsia" w:ascii="宋体" w:hAnsi="宋体" w:eastAsia="宋体" w:cs="宋体"/>
                <w:color w:val="auto"/>
                <w:sz w:val="24"/>
                <w:szCs w:val="24"/>
                <w:highlight w:val="none"/>
                <w:lang w:val="en-US" w:eastAsia="zh-CN" w:bidi="ar"/>
              </w:rPr>
              <w:t xml:space="preserve">养护期内须常态化排查全域绿地，对绿地内外露、裸露的各类管线、线管及时开展规整、埋设、覆土隐蔽作业，规范做好管线防护、场地平整复原工作，消除管线外露带来的安全隐患及景观缺陷。所有线管排查、埋设施工、材料购置、场地复原等全部人工及物料费用均包干包含在投标报价内，由中标人自行承担，采购人不另行增加任何费用。</w:t>
            </w:r>
            <w:r>
              <w:rPr>
                <w:color w:val="auto"/>
                <w:highlight w:val="none"/>
              </w:rPr>
            </w:r>
            <w:r/>
          </w:p>
          <w:p>
            <w:pPr>
              <w:pStyle w:val="873"/>
              <w:jc w:val="left"/>
              <w:keepLines w:val="0"/>
              <w:keepNext w:val="0"/>
              <w:spacing w:line="0" w:lineRule="atLeast"/>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CN" w:bidi="ar"/>
              </w:rPr>
              <w:t xml:space="preserve">⑫</w:t>
            </w:r>
            <w:r>
              <w:rPr>
                <w:rFonts w:hint="eastAsia" w:ascii="宋体" w:hAnsi="宋体" w:eastAsia="宋体" w:cs="宋体"/>
                <w:b/>
                <w:bCs/>
                <w:color w:val="auto"/>
                <w:sz w:val="24"/>
                <w:szCs w:val="24"/>
                <w:highlight w:val="none"/>
                <w:lang w:val="en-US" w:eastAsia="zh-CN"/>
              </w:rPr>
              <w:t xml:space="preserve">核心窗口区域专项精细化管护：</w:t>
            </w:r>
            <w:r>
              <w:rPr>
                <w:rFonts w:hint="eastAsia" w:ascii="宋体" w:hAnsi="宋体" w:eastAsia="宋体" w:cs="宋体"/>
                <w:color w:val="auto"/>
                <w:sz w:val="24"/>
                <w:szCs w:val="24"/>
                <w:highlight w:val="none"/>
                <w:lang w:val="en-US" w:eastAsia="zh-CN" w:bidi="ar"/>
              </w:rPr>
              <w:t xml:space="preserve">核心区域所有设施维修、翻新、更换作业须严</w:t>
            </w:r>
            <w:r>
              <w:rPr>
                <w:rFonts w:hint="eastAsia" w:ascii="宋体" w:hAnsi="宋体" w:eastAsia="宋体" w:cs="宋体"/>
                <w:color w:val="auto"/>
                <w:sz w:val="24"/>
                <w:szCs w:val="24"/>
                <w:highlight w:val="none"/>
                <w:lang w:val="en-US" w:eastAsia="zh-CN" w:bidi="ar"/>
              </w:rPr>
              <w:t xml:space="preserve">格执行标准化围挡布设规范，统一围挡样式、高度与布设标准，做到规整牢固、封闭严密、美观整洁，全程落实作业隔离防护；所有苗木补植、苗木更换、景观提质作业须按标准化规范摆放专属作业告知牌。全域各类警示标识、温馨提示、作业标牌统一规整更新，做到样式统一、文字清晰、布设规范、全域全覆盖、无盲区。所有养护作业严格执行安全文明施工准则，全程严控施工扬尘、作业噪音，规范摆放施工机具与物料，养护垃圾、施工废料做到随产随清、工完场清，坚决杜绝施工扰民、场地脏乱、景观破损等问题，全方位保障核心区域养护作业规范、有序、高品质落地。</w:t>
            </w:r>
            <w:r>
              <w:rPr>
                <w:rStyle w:val="945"/>
                <w:rFonts w:hint="eastAsia" w:ascii="宋体" w:hAnsi="宋体" w:eastAsia="宋体" w:cs="宋体"/>
                <w:b w:val="0"/>
                <w:bCs w:val="0"/>
                <w:color w:val="auto"/>
                <w:sz w:val="24"/>
                <w:szCs w:val="24"/>
                <w:highlight w:val="none"/>
                <w:lang w:val="en-US" w:eastAsia="zh-CN" w:bidi="ar"/>
              </w:rPr>
              <w:t xml:space="preserve">所有核心窗口区域精细化管护、围挡标准化布设维保、标志标牌规整更新、现场安全文明施工管控等全部人工、材料、运维、整改及风险费用，均全额包干包含在投标报价内，采购人不另行支付任何费用。</w:t>
            </w:r>
            <w:r>
              <w:rPr>
                <w:color w:val="auto"/>
                <w:highlight w:val="none"/>
              </w:rPr>
            </w:r>
            <w:r/>
          </w:p>
          <w:p>
            <w:pPr>
              <w:pStyle w:val="873"/>
              <w:jc w:val="left"/>
              <w:keepLines w:val="0"/>
              <w:keepNext w:val="0"/>
              <w:spacing w:line="0" w:lineRule="atLeast"/>
              <w:widowControl/>
              <w:rPr>
                <w:rFonts w:hint="eastAsia" w:ascii="宋体" w:hAnsi="宋体" w:eastAsia="宋体" w:cs="宋体"/>
                <w:color w:val="auto"/>
                <w:sz w:val="24"/>
                <w:szCs w:val="24"/>
                <w:highlight w:val="none"/>
              </w:rPr>
              <w:suppressLineNumbers w:val="0"/>
            </w:pPr>
            <w:r>
              <w:rPr>
                <w:rStyle w:val="945"/>
                <w:rFonts w:hint="eastAsia" w:ascii="宋体" w:hAnsi="宋体" w:eastAsia="宋体" w:cs="宋体"/>
                <w:b w:val="0"/>
                <w:bCs w:val="0"/>
                <w:color w:val="auto"/>
                <w:sz w:val="24"/>
                <w:szCs w:val="24"/>
                <w:highlight w:val="none"/>
                <w:lang w:val="en-US" w:eastAsia="zh-CN" w:bidi="ar"/>
              </w:rPr>
              <w:t xml:space="preserve">⑬</w:t>
            </w:r>
            <w:r>
              <w:rPr>
                <w:rFonts w:hint="eastAsia" w:ascii="宋体" w:hAnsi="宋体" w:eastAsia="宋体" w:cs="宋体"/>
                <w:color w:val="auto"/>
                <w:sz w:val="24"/>
                <w:szCs w:val="24"/>
                <w:highlight w:val="none"/>
                <w:lang w:val="en-US" w:eastAsia="zh-CN" w:bidi="ar"/>
              </w:rPr>
              <w:t xml:space="preserve">服务期内，因供水、供电、通信、市政改造等各类第三方施工造成全域绿化苗木损毁、绿篱草坪破损、场地裸露、景观破坏等问题，若因中标人日常全域巡查缺位、排查不到位，未能及时发现施工行为并及时制止而造成损失的，所有绿化复原、苗木补植、场地规整修复工作均由中标人无条件、无偿实施。采购人不另行支付任何费用，相关养护失效、苗木死亡、景观反弹问题由中标人无偿整改到位并自行承担全部损失。</w:t>
            </w:r>
            <w:r>
              <w:rPr>
                <w:color w:val="auto"/>
                <w:highlight w:val="none"/>
              </w:rPr>
            </w:r>
            <w:r/>
          </w:p>
          <w:p>
            <w:pPr>
              <w:pStyle w:val="873"/>
              <w:jc w:val="left"/>
              <w:keepLines w:val="0"/>
              <w:keepNext w:val="0"/>
              <w:spacing w:line="0" w:lineRule="atLeast"/>
              <w:widowControl/>
              <w:rPr>
                <w:rFonts w:hint="eastAsia" w:ascii="宋体" w:hAnsi="宋体" w:eastAsia="宋体" w:cs="宋体"/>
                <w:b w:val="0"/>
                <w:bCs w:val="0"/>
                <w:color w:val="auto"/>
                <w:sz w:val="24"/>
                <w:szCs w:val="24"/>
                <w:highlight w:val="none"/>
              </w:rPr>
              <w:suppressLineNumbers w:val="0"/>
            </w:pPr>
            <w:r>
              <w:rPr>
                <w:rStyle w:val="945"/>
                <w:rFonts w:hint="eastAsia" w:ascii="宋体" w:hAnsi="宋体" w:eastAsia="宋体" w:cs="宋体"/>
                <w:color w:val="auto"/>
                <w:sz w:val="24"/>
                <w:szCs w:val="24"/>
                <w:highlight w:val="none"/>
                <w:lang w:val="en-US" w:eastAsia="zh-CN" w:bidi="ar"/>
              </w:rPr>
              <w:t xml:space="preserve">⑭</w:t>
            </w:r>
            <w:r>
              <w:rPr>
                <w:rFonts w:hint="eastAsia" w:ascii="宋体" w:hAnsi="宋体" w:eastAsia="宋体" w:cs="宋体"/>
                <w:b/>
                <w:bCs/>
                <w:color w:val="auto"/>
                <w:sz w:val="24"/>
                <w:szCs w:val="24"/>
                <w:highlight w:val="none"/>
                <w:lang w:val="en-US" w:eastAsia="zh-CN"/>
              </w:rPr>
              <w:t xml:space="preserve">本项目所有新补植、更换的各类苗木（含大乔、花灌木、绿篱、草坪、地被等补植苗木）需养护至服务期满并成活后移交，且移交前养护期不得少于三个月。</w:t>
            </w:r>
            <w:r>
              <w:rPr>
                <w:rFonts w:hint="eastAsia" w:ascii="宋体" w:hAnsi="宋体" w:eastAsia="宋体" w:cs="宋体"/>
                <w:color w:val="auto"/>
                <w:sz w:val="24"/>
                <w:szCs w:val="24"/>
                <w:highlight w:val="none"/>
                <w:lang w:val="en-US" w:eastAsia="zh-CN" w:bidi="ar"/>
              </w:rPr>
              <w:t xml:space="preserve">养护期内，中标人须常态化开展精细化管护，落实浇水施肥、病虫害防治、修剪整形、杂草清理、支撑加固、防冻抗旱等全套保活措施，全程承担苗木成活风险。养护期内出现苗木枯萎、死亡、长势衰败、景观不达标的，中标人须无条件、无偿及时补植更换、整改修复，直至景观达标、苗木成活。本条款涉及的全部养护、整改、补植费用均全额包干包含在投标报价内，采购人不另行支付任何费用。</w:t>
            </w:r>
            <w:r>
              <w:rPr>
                <w:color w:val="auto"/>
                <w:highlight w:val="none"/>
              </w:rPr>
            </w:r>
            <w:r/>
          </w:p>
          <w:p>
            <w:pPr>
              <w:pStyle w:val="873"/>
              <w:jc w:val="left"/>
              <w:keepLines w:val="0"/>
              <w:keepNext w:val="0"/>
              <w:spacing w:line="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CN" w:bidi="ar"/>
              </w:rPr>
              <w:t xml:space="preserve">⑮所有养护作业过程中，须妥善保护园林小品、园路、护栏、路灯、给排水系统等各类现有公共设施，严禁作业损毁、磕碰、污染。</w:t>
            </w:r>
            <w:r>
              <w:rPr>
                <w:color w:val="auto"/>
                <w:highlight w:val="none"/>
              </w:rPr>
            </w:r>
            <w:r/>
          </w:p>
          <w:p>
            <w:pPr>
              <w:pStyle w:val="873"/>
              <w:jc w:val="left"/>
              <w:keepLines w:val="0"/>
              <w:keepNext w:val="0"/>
              <w:spacing w:line="0" w:lineRule="atLeast"/>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b/>
                <w:bCs/>
                <w:color w:val="auto"/>
                <w:sz w:val="24"/>
                <w:szCs w:val="24"/>
                <w:highlight w:val="none"/>
                <w:lang w:val="en-US" w:eastAsia="zh-CN"/>
              </w:rPr>
              <w:t xml:space="preserve">台账档案与现场交接管理</w:t>
            </w:r>
            <w:r>
              <w:rPr>
                <w:color w:val="auto"/>
                <w:highlight w:val="none"/>
              </w:rPr>
            </w:r>
            <w:r/>
          </w:p>
          <w:p>
            <w:pPr>
              <w:pStyle w:val="873"/>
              <w:jc w:val="left"/>
              <w:keepLines w:val="0"/>
              <w:keepNext w:val="0"/>
              <w:spacing w:line="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①</w:t>
            </w:r>
            <w:r>
              <w:rPr>
                <w:rFonts w:hint="eastAsia" w:ascii="宋体" w:hAnsi="宋体" w:eastAsia="宋体" w:cs="宋体"/>
                <w:b/>
                <w:bCs/>
                <w:color w:val="auto"/>
                <w:sz w:val="24"/>
                <w:szCs w:val="24"/>
                <w:highlight w:val="none"/>
                <w:lang w:val="en-US" w:eastAsia="zh-CN"/>
              </w:rPr>
              <w:t xml:space="preserve">台账档案：</w:t>
            </w:r>
            <w:r>
              <w:rPr>
                <w:rFonts w:hint="eastAsia" w:ascii="宋体" w:hAnsi="宋体" w:eastAsia="宋体" w:cs="宋体"/>
                <w:color w:val="auto"/>
                <w:sz w:val="24"/>
                <w:szCs w:val="24"/>
                <w:highlight w:val="none"/>
                <w:lang w:val="en-US" w:eastAsia="zh-CN" w:bidi="ar"/>
              </w:rPr>
              <w:t xml:space="preserve">中标人须建立、更新并常态化完善全套标准化绿化养护台账，做到资料真实完整、分类归档、全程可追溯。养护台账须包含但不限于：日常养护作业记录、月度养护实施台账、年度养护工作计划、绿化垃圾清运台账、设施设备巡查维保台账、极端天气应急养护台账、各类现场作业影像留存资料。同时需建立健全全套养护管理档案，及时归集整理各类养护作业、巡查督查、整改落实、应急处置、设备维保等相关资料。项目服务结束后，中标人须严格按照采购人管理规定及行业规范要求，完整、合规移交全套项目台账及归档资料。</w:t>
            </w:r>
            <w:r>
              <w:rPr>
                <w:color w:val="auto"/>
                <w:highlight w:val="none"/>
              </w:rPr>
            </w:r>
            <w:r/>
          </w:p>
          <w:p>
            <w:pPr>
              <w:pStyle w:val="873"/>
              <w:jc w:val="left"/>
              <w:keepLines w:val="0"/>
              <w:keepNext w:val="0"/>
              <w:spacing w:line="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②</w:t>
            </w:r>
            <w:r>
              <w:rPr>
                <w:rFonts w:hint="eastAsia" w:ascii="宋体" w:hAnsi="宋体" w:eastAsia="宋体" w:cs="宋体"/>
                <w:b/>
                <w:bCs/>
                <w:color w:val="auto"/>
                <w:sz w:val="24"/>
                <w:szCs w:val="24"/>
                <w:highlight w:val="none"/>
                <w:lang w:val="en-US" w:eastAsia="zh-CN"/>
              </w:rPr>
              <w:t xml:space="preserve">现场交接：</w:t>
            </w:r>
            <w:r>
              <w:rPr>
                <w:rFonts w:hint="eastAsia" w:ascii="宋体" w:hAnsi="宋体" w:eastAsia="宋体" w:cs="宋体"/>
                <w:color w:val="auto"/>
                <w:sz w:val="24"/>
                <w:szCs w:val="24"/>
                <w:highlight w:val="none"/>
                <w:lang w:val="en-US" w:eastAsia="zh-CN" w:bidi="ar"/>
              </w:rPr>
              <w:t xml:space="preserve">本项目中标人确定后，须积极对接原养护单位办理全部设施、苗木及现场工作移交手续。</w:t>
            </w:r>
            <w:r>
              <w:rPr>
                <w:color w:val="auto"/>
                <w:highlight w:val="none"/>
              </w:rPr>
            </w:r>
            <w:r/>
          </w:p>
          <w:p>
            <w:pPr>
              <w:pStyle w:val="873"/>
              <w:jc w:val="left"/>
              <w:keepLines w:val="0"/>
              <w:keepNext w:val="0"/>
              <w:spacing w:line="0" w:lineRule="atLeast"/>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本项目服务末期，中标人须主动对接接收单位办理全部设施、苗木及现场工作移交手续。</w:t>
            </w:r>
            <w:r>
              <w:rPr>
                <w:rFonts w:hint="eastAsia" w:ascii="宋体" w:hAnsi="宋体" w:eastAsia="宋体" w:cs="宋体"/>
                <w:b w:val="0"/>
                <w:bCs w:val="0"/>
                <w:color w:val="auto"/>
                <w:sz w:val="24"/>
                <w:szCs w:val="24"/>
                <w:highlight w:val="none"/>
                <w:lang w:val="en-US" w:eastAsia="zh-CN" w:bidi="ar"/>
              </w:rPr>
              <w:t xml:space="preserve">若实际移交完成时间超出合同约定养护服务期，不额外增加任何养护费用，并承担超期移交期间产生的所有风险及费用。</w:t>
            </w:r>
            <w:r>
              <w:rPr>
                <w:color w:val="auto"/>
                <w:highlight w:val="none"/>
              </w:rPr>
            </w:r>
            <w:r/>
          </w:p>
          <w:p>
            <w:pPr>
              <w:pStyle w:val="873"/>
              <w:jc w:val="left"/>
              <w:keepLines w:val="0"/>
              <w:keepNext w:val="0"/>
              <w:spacing w:line="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③</w:t>
            </w:r>
            <w:r>
              <w:rPr>
                <w:rFonts w:hint="eastAsia" w:ascii="宋体" w:hAnsi="宋体" w:eastAsia="宋体" w:cs="宋体"/>
                <w:b/>
                <w:bCs/>
                <w:color w:val="auto"/>
                <w:sz w:val="24"/>
                <w:szCs w:val="24"/>
                <w:highlight w:val="none"/>
                <w:lang w:val="en-US" w:eastAsia="zh-CN"/>
              </w:rPr>
              <w:t xml:space="preserve">移交标准：</w:t>
            </w:r>
            <w:r>
              <w:rPr>
                <w:rFonts w:hint="eastAsia" w:ascii="宋体" w:hAnsi="宋体" w:eastAsia="宋体" w:cs="宋体"/>
                <w:color w:val="auto"/>
                <w:sz w:val="24"/>
                <w:szCs w:val="24"/>
                <w:highlight w:val="none"/>
                <w:lang w:val="en-US" w:eastAsia="zh-CN" w:bidi="ar"/>
              </w:rPr>
              <w:t xml:space="preserve">养护范围内苗木</w:t>
            </w:r>
            <w:r>
              <w:rPr>
                <w:rFonts w:hint="eastAsia" w:ascii="宋体" w:hAnsi="宋体" w:eastAsia="宋体" w:cs="宋体"/>
                <w:color w:val="auto"/>
                <w:sz w:val="24"/>
                <w:szCs w:val="24"/>
                <w:highlight w:val="none"/>
                <w:shd w:val="clear" w:color="auto" w:fill="auto"/>
                <w:lang w:val="en-US" w:eastAsia="zh-CN" w:bidi="ar"/>
              </w:rPr>
              <w:t xml:space="preserve">须</w:t>
            </w:r>
            <w:r>
              <w:rPr>
                <w:rFonts w:hint="eastAsia" w:ascii="宋体" w:hAnsi="宋体" w:eastAsia="宋体" w:cs="宋体"/>
                <w:color w:val="auto"/>
                <w:sz w:val="24"/>
                <w:szCs w:val="24"/>
                <w:highlight w:val="none"/>
                <w:lang w:val="en-US" w:eastAsia="zh-CN" w:bidi="ar"/>
              </w:rPr>
              <w:t xml:space="preserve">无死亡、无长势不良、无缺株断带，绿地无退化、无斑秃、无黄土裸土；全域绿化配套设施、各类硬质景观设施需完好无损、无缺失、无破损、无故障，可正常投入使用。移交查验发现苗木长势不达标、缺株死亡、绿地裸露退化、硬质景观及绿化配套设施缺失、破损、损毁、无法正常使用等问题，均判定为中标人管护失职，中标人须限期无偿完成苗木补植、绿地修复、设施维修更换及景观原貌复原工作，所有整改修复费用自行承担。</w:t>
            </w:r>
            <w:r>
              <w:rPr>
                <w:color w:val="auto"/>
                <w:highlight w:val="none"/>
              </w:rPr>
            </w:r>
            <w:r/>
          </w:p>
          <w:p>
            <w:pPr>
              <w:pStyle w:val="873"/>
              <w:jc w:val="left"/>
              <w:keepLines w:val="0"/>
              <w:keepNext w:val="0"/>
              <w:spacing w:line="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④</w:t>
            </w:r>
            <w:r>
              <w:rPr>
                <w:rFonts w:hint="eastAsia" w:ascii="宋体" w:hAnsi="宋体" w:eastAsia="宋体" w:cs="宋体"/>
                <w:b/>
                <w:bCs/>
                <w:color w:val="auto"/>
                <w:sz w:val="24"/>
                <w:szCs w:val="24"/>
                <w:highlight w:val="none"/>
                <w:lang w:val="en-US" w:eastAsia="zh-CN"/>
              </w:rPr>
              <w:t xml:space="preserve">进场摸排建档：</w:t>
            </w:r>
            <w:r>
              <w:rPr>
                <w:rFonts w:hint="eastAsia" w:ascii="宋体" w:hAnsi="宋体" w:eastAsia="宋体" w:cs="宋体"/>
                <w:color w:val="auto"/>
                <w:sz w:val="24"/>
                <w:szCs w:val="24"/>
                <w:highlight w:val="none"/>
                <w:lang w:val="en-US" w:eastAsia="zh-CN" w:bidi="ar"/>
              </w:rPr>
              <w:t xml:space="preserve">中标人进场履约后，须全面统计项目全域绿地、铺装、广场面积，完成项目全域现状CAD图纸绘制，作为本项目养护、结算及交接依据。</w:t>
            </w:r>
            <w:r>
              <w:rPr>
                <w:color w:val="auto"/>
                <w:highlight w:val="none"/>
              </w:rPr>
            </w:r>
            <w:r/>
          </w:p>
          <w:p>
            <w:pPr>
              <w:pStyle w:val="873"/>
              <w:jc w:val="left"/>
              <w:keepLines w:val="0"/>
              <w:keepNext w:val="0"/>
              <w:spacing w:line="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日常巡查、管控及问题闭环整改：中标人须对养护管辖范围开展每日常态化巡查管控工作，安排专人常态化巡逻值守，及时发现、制止各类破坏绿化设施、影响绿化景观、污染环境卫生及苗木、绿化设施盗窃、损坏等违规行为，第一时间上报处置，并主动配合城管、公安机关开展排查、调查、处置工作。针对采购人巡查、督查下发的各类问题整改清单，须按时、保质完成整改闭环。凡因巡查缺位、管护不力造成苗木损毁、设施破损、物资被盗及其他各类经济损失的，全部由中标人自行承担。</w:t>
            </w:r>
            <w:r>
              <w:rPr>
                <w:color w:val="auto"/>
                <w:highlight w:val="none"/>
              </w:rPr>
            </w:r>
            <w:r/>
          </w:p>
          <w:p>
            <w:pPr>
              <w:pStyle w:val="873"/>
              <w:jc w:val="left"/>
              <w:keepLines w:val="0"/>
              <w:keepNext w:val="0"/>
              <w:spacing w:line="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w:t>
            </w:r>
            <w:r>
              <w:rPr>
                <w:rFonts w:hint="eastAsia" w:ascii="宋体" w:hAnsi="宋体" w:eastAsia="宋体" w:cs="宋体"/>
                <w:b/>
                <w:bCs/>
                <w:color w:val="auto"/>
                <w:sz w:val="24"/>
                <w:szCs w:val="24"/>
                <w:highlight w:val="none"/>
                <w:lang w:val="en-US" w:eastAsia="zh-CN"/>
              </w:rPr>
              <w:t xml:space="preserve">安全隐患排查与应急抢险响应管理</w:t>
            </w:r>
            <w:r>
              <w:rPr>
                <w:color w:val="auto"/>
                <w:highlight w:val="none"/>
              </w:rPr>
            </w:r>
            <w:r/>
          </w:p>
          <w:p>
            <w:pPr>
              <w:pStyle w:val="873"/>
              <w:jc w:val="left"/>
              <w:keepLines w:val="0"/>
              <w:keepNext w:val="0"/>
              <w:spacing w:line="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①</w:t>
            </w:r>
            <w:r>
              <w:rPr>
                <w:rFonts w:hint="eastAsia" w:ascii="宋体" w:hAnsi="宋体" w:eastAsia="宋体" w:cs="宋体"/>
                <w:b/>
                <w:bCs/>
                <w:color w:val="auto"/>
                <w:sz w:val="24"/>
                <w:szCs w:val="24"/>
                <w:highlight w:val="none"/>
                <w:lang w:val="en-US" w:eastAsia="zh-CN"/>
              </w:rPr>
              <w:t xml:space="preserve">常态化安全巡查管控：</w:t>
            </w:r>
            <w:r>
              <w:rPr>
                <w:rFonts w:hint="eastAsia" w:ascii="宋体" w:hAnsi="宋体" w:eastAsia="宋体" w:cs="宋体"/>
                <w:color w:val="auto"/>
                <w:sz w:val="24"/>
                <w:szCs w:val="24"/>
                <w:highlight w:val="none"/>
                <w:lang w:val="en-US" w:eastAsia="zh-CN" w:bidi="ar"/>
              </w:rPr>
              <w:t xml:space="preserve">中标人落实全域绿化安全常态化巡查，主要道路每日巡查不少于1次，其余区域每周巡查不少于1次；防汛期、台风、暴雨、大风等恶劣天气，须加密巡查频次。巡查重点排查苗木枯断枝、树干倾斜、根系裸露、支撑松动失效、树穴盖板缺失、树干空腐等各类安全隐患，做到早发现、早处置。</w:t>
            </w:r>
            <w:r>
              <w:rPr>
                <w:color w:val="auto"/>
                <w:highlight w:val="none"/>
              </w:rPr>
            </w:r>
            <w:r/>
          </w:p>
          <w:p>
            <w:pPr>
              <w:pStyle w:val="873"/>
              <w:jc w:val="left"/>
              <w:keepLines w:val="0"/>
              <w:keepNext w:val="0"/>
              <w:spacing w:line="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②</w:t>
            </w:r>
            <w:r>
              <w:rPr>
                <w:rFonts w:hint="eastAsia" w:ascii="宋体" w:hAnsi="宋体" w:eastAsia="宋体" w:cs="宋体"/>
                <w:b/>
                <w:bCs/>
                <w:color w:val="auto"/>
                <w:sz w:val="24"/>
                <w:szCs w:val="24"/>
                <w:highlight w:val="none"/>
                <w:lang w:val="en-US" w:eastAsia="zh-CN"/>
              </w:rPr>
              <w:t xml:space="preserve">安全净空专项管控：</w:t>
            </w:r>
            <w:r>
              <w:rPr>
                <w:rFonts w:hint="eastAsia" w:ascii="宋体" w:hAnsi="宋体" w:eastAsia="宋体" w:cs="宋体"/>
                <w:color w:val="auto"/>
                <w:sz w:val="24"/>
                <w:szCs w:val="24"/>
                <w:highlight w:val="none"/>
                <w:lang w:val="en-US" w:eastAsia="zh-CN" w:bidi="ar"/>
              </w:rPr>
              <w:t xml:space="preserve">每次巡查同步核查苗木枝条与强电电缆的安全间距，排查枝条是否遮挡路灯、信号灯、交通标牌，是否阻碍交通视线、架空线路、建筑及行人通行空间。对影响安全净空的枝条，须在24小时内修剪清除；对存在断枝、严重倾斜等紧急险情隐患的，1小时内完成上报并落实应急警示、围护及处置措施，彻底消除安全隐患，并按年度或采购人要求对行道树开展回缩修剪，长效规避净空安全问题。</w:t>
            </w:r>
            <w:r>
              <w:rPr>
                <w:color w:val="auto"/>
                <w:highlight w:val="none"/>
              </w:rPr>
            </w:r>
            <w:r/>
          </w:p>
          <w:p>
            <w:pPr>
              <w:pStyle w:val="873"/>
              <w:jc w:val="left"/>
              <w:keepLines w:val="0"/>
              <w:keepNext w:val="0"/>
              <w:spacing w:line="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③</w:t>
            </w:r>
            <w:r>
              <w:rPr>
                <w:rFonts w:hint="eastAsia" w:ascii="宋体" w:hAnsi="宋体" w:eastAsia="宋体" w:cs="宋体"/>
                <w:b/>
                <w:bCs/>
                <w:color w:val="auto"/>
                <w:sz w:val="24"/>
                <w:szCs w:val="24"/>
                <w:highlight w:val="none"/>
                <w:lang w:val="en-US" w:eastAsia="zh-CN"/>
              </w:rPr>
              <w:t xml:space="preserve">极端天气前置预防措施：</w:t>
            </w:r>
            <w:r>
              <w:rPr>
                <w:rFonts w:hint="eastAsia" w:ascii="宋体" w:hAnsi="宋体" w:eastAsia="宋体" w:cs="宋体"/>
                <w:color w:val="auto"/>
                <w:sz w:val="24"/>
                <w:szCs w:val="24"/>
                <w:highlight w:val="none"/>
                <w:lang w:val="en-US" w:eastAsia="zh-CN" w:bidi="ar"/>
              </w:rPr>
              <w:t xml:space="preserve">常态化开展苗木抗逆防护，定期修剪枯枝、下垂枝、过密枝，降低风阻、提升抗风能力；拓展树穴根系生长空间，浅根性苗木统一设置支撑，风口区域增设钢架、地锚加固。夏季采取缠干、遮阳网、喷施抗蒸腾剂抗旱；冬季涂白、灌封冻水、根部堆土防冻。</w:t>
            </w:r>
            <w:r>
              <w:rPr>
                <w:color w:val="auto"/>
                <w:highlight w:val="none"/>
              </w:rPr>
            </w:r>
            <w:r/>
          </w:p>
          <w:p>
            <w:pPr>
              <w:pStyle w:val="873"/>
              <w:jc w:val="left"/>
              <w:keepLines w:val="0"/>
              <w:keepNext w:val="0"/>
              <w:spacing w:line="0" w:lineRule="atLeast"/>
              <w:widowControl/>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lang w:val="en-US" w:eastAsia="zh-CN" w:bidi="ar"/>
              </w:rPr>
              <w:t xml:space="preserve">台风、暴雨、暴雪、强对流等极端天气来临前，全面开展全域隐患排查整治，加固苗木支撑、清理危枝、疏通排水设施、遮盖防护脆弱苗木及设施；极端天气过后及时开展全域排查，清理倒伏苗木、断枝落叶、积水淤泥，快速修复受损设施、补植损毁绿植，消除安全隐患、恢复园区景观。</w:t>
            </w:r>
            <w:r>
              <w:rPr>
                <w:color w:val="auto"/>
                <w:highlight w:val="none"/>
              </w:rPr>
            </w:r>
            <w:r/>
          </w:p>
          <w:p>
            <w:pPr>
              <w:pStyle w:val="873"/>
              <w:jc w:val="left"/>
              <w:keepLines w:val="0"/>
              <w:keepNext w:val="0"/>
              <w:spacing w:line="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苗木发生倾斜、倒伏险情时，须严格执行应急时效要求：10分钟内响应、30分钟抵达现场、2小时内完成处置。大面积倒伏无法一次性处置完毕的，优先清理处置影响管线、人车通行安全的苗木，再逐步完成全域扶正加固。抢险复壮按规范作业：轻度倾斜苗木直接扶正稳固；紧邻管网、线缆无法扶正的倒伏苗木，立即清理粉碎、工完料清；古树、名贵苗木重点专项抢救，全程动态养护监测。所有工单、投诉类扶正需求，均按规定时限闭环处置。</w:t>
            </w:r>
            <w:r>
              <w:rPr>
                <w:color w:val="auto"/>
                <w:highlight w:val="none"/>
              </w:rPr>
            </w:r>
            <w:r/>
          </w:p>
          <w:p>
            <w:pPr>
              <w:pStyle w:val="873"/>
              <w:jc w:val="left"/>
              <w:keepLines w:val="0"/>
              <w:keepNext w:val="0"/>
              <w:spacing w:line="0" w:lineRule="atLeast"/>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（5）</w:t>
            </w:r>
            <w:r>
              <w:rPr>
                <w:rFonts w:hint="eastAsia" w:ascii="宋体" w:hAnsi="宋体" w:eastAsia="宋体" w:cs="宋体"/>
                <w:b/>
                <w:bCs/>
                <w:color w:val="auto"/>
                <w:sz w:val="24"/>
                <w:szCs w:val="24"/>
                <w:highlight w:val="none"/>
                <w:lang w:val="en-US" w:eastAsia="zh-CN"/>
              </w:rPr>
              <w:t xml:space="preserve">安全生产、作业防护、文明施工及应急抢险演练</w:t>
            </w:r>
            <w:r>
              <w:rPr>
                <w:color w:val="auto"/>
                <w:highlight w:val="none"/>
              </w:rPr>
            </w:r>
            <w:r/>
          </w:p>
          <w:p>
            <w:pPr>
              <w:pStyle w:val="873"/>
              <w:jc w:val="left"/>
              <w:keepLines w:val="0"/>
              <w:keepNext w:val="0"/>
              <w:spacing w:line="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①</w:t>
            </w:r>
            <w:r>
              <w:rPr>
                <w:rFonts w:hint="eastAsia" w:ascii="宋体" w:hAnsi="宋体" w:eastAsia="宋体" w:cs="宋体"/>
                <w:b/>
                <w:bCs/>
                <w:color w:val="auto"/>
                <w:sz w:val="24"/>
                <w:szCs w:val="24"/>
                <w:highlight w:val="none"/>
                <w:lang w:val="en-US" w:eastAsia="zh-CN"/>
              </w:rPr>
              <w:t xml:space="preserve">人员安全教育、通勤及劳保保障：</w:t>
            </w:r>
            <w:r>
              <w:rPr>
                <w:rFonts w:hint="eastAsia" w:ascii="宋体" w:hAnsi="宋体" w:eastAsia="宋体" w:cs="宋体"/>
                <w:color w:val="auto"/>
                <w:sz w:val="24"/>
                <w:szCs w:val="24"/>
                <w:highlight w:val="none"/>
                <w:lang w:val="en-US" w:eastAsia="zh-CN" w:bidi="ar"/>
              </w:rPr>
              <w:t xml:space="preserve">定期组织全员安全生产教育培训，落实专人全程在岗监管，督促作业人员通勤严格遵守交通法规。作业人员通勤接送车辆须证照齐全、合规合法。每日上岗前核查人员身体状态，严禁带病作业，从源头规避人员安全风险。中标人须足额配备全套合规劳保用品，作业现场常备防蚊、防虫、防暑等急救物资，全面保障作业人员人身安全。</w:t>
            </w:r>
            <w:r>
              <w:rPr>
                <w:color w:val="auto"/>
                <w:highlight w:val="none"/>
              </w:rPr>
            </w:r>
            <w:r/>
          </w:p>
          <w:p>
            <w:pPr>
              <w:pStyle w:val="873"/>
              <w:jc w:val="left"/>
              <w:keepLines w:val="0"/>
              <w:keepNext w:val="0"/>
              <w:spacing w:line="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②</w:t>
            </w:r>
            <w:r>
              <w:rPr>
                <w:rFonts w:hint="eastAsia" w:ascii="宋体" w:hAnsi="宋体" w:eastAsia="宋体" w:cs="宋体"/>
                <w:b/>
                <w:bCs/>
                <w:color w:val="auto"/>
                <w:sz w:val="24"/>
                <w:szCs w:val="24"/>
                <w:highlight w:val="none"/>
                <w:lang w:val="en-US" w:eastAsia="zh-CN"/>
              </w:rPr>
              <w:t xml:space="preserve">现场标准化作业防护：</w:t>
            </w:r>
            <w:r>
              <w:rPr>
                <w:rFonts w:hint="eastAsia" w:ascii="宋体" w:hAnsi="宋体" w:eastAsia="宋体" w:cs="宋体"/>
                <w:color w:val="auto"/>
                <w:sz w:val="24"/>
                <w:szCs w:val="24"/>
                <w:highlight w:val="none"/>
                <w:lang w:val="en-US" w:eastAsia="zh-CN" w:bidi="ar"/>
              </w:rPr>
              <w:t xml:space="preserve">所有在岗人员作业期间必须穿戴安全反光背心。药剂喷洒作业须穿戴专用防护器具，结合风向规划作业路线，规范设置安全隔离围栏，杜绝药剂飘散造成人员伤害。道路养护作业须规范布设警示锥、告示牌等安全设施，全程保障人机通行安全。占道作业须严格遵守城市道路管理规定，布设清晰警示标识，夜间增设闪光警示灯，安排专人疏导交通，做到作业规范、警示到位。</w:t>
            </w:r>
            <w:r>
              <w:rPr>
                <w:color w:val="auto"/>
                <w:highlight w:val="none"/>
              </w:rPr>
            </w:r>
            <w:r/>
          </w:p>
          <w:p>
            <w:pPr>
              <w:pStyle w:val="873"/>
              <w:jc w:val="left"/>
              <w:keepLines w:val="0"/>
              <w:keepNext w:val="0"/>
              <w:spacing w:line="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③</w:t>
            </w:r>
            <w:r>
              <w:rPr>
                <w:rFonts w:hint="eastAsia" w:ascii="宋体" w:hAnsi="宋体" w:eastAsia="宋体" w:cs="宋体"/>
                <w:b/>
                <w:bCs/>
                <w:color w:val="auto"/>
                <w:sz w:val="24"/>
                <w:szCs w:val="24"/>
                <w:highlight w:val="none"/>
                <w:lang w:val="en-US" w:eastAsia="zh-CN"/>
              </w:rPr>
              <w:t xml:space="preserve">专项作业审批管理：</w:t>
            </w:r>
            <w:r>
              <w:rPr>
                <w:rFonts w:hint="eastAsia" w:ascii="宋体" w:hAnsi="宋体" w:eastAsia="宋体" w:cs="宋体"/>
                <w:color w:val="auto"/>
                <w:sz w:val="24"/>
                <w:szCs w:val="24"/>
                <w:highlight w:val="none"/>
                <w:lang w:val="en-US" w:eastAsia="zh-CN" w:bidi="ar"/>
              </w:rPr>
              <w:t xml:space="preserve">凡涉及城市快速路养护、占道作业等特殊施工场景，须提前向交管部门办理合规作业审批手续，严格按审批要求组织施工。所有手续办理、安全设施布设、现场安全保障产生的全部费用，均包含在投标报价内，由中标人自行承担。</w:t>
            </w:r>
            <w:r>
              <w:rPr>
                <w:color w:val="auto"/>
                <w:highlight w:val="none"/>
              </w:rPr>
            </w:r>
            <w:r/>
          </w:p>
          <w:p>
            <w:pPr>
              <w:pStyle w:val="873"/>
              <w:jc w:val="left"/>
              <w:keepLines w:val="0"/>
              <w:keepNext w:val="0"/>
              <w:spacing w:line="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④</w:t>
            </w:r>
            <w:r>
              <w:rPr>
                <w:rFonts w:hint="eastAsia" w:ascii="宋体" w:hAnsi="宋体" w:eastAsia="宋体" w:cs="宋体"/>
                <w:b/>
                <w:bCs/>
                <w:color w:val="auto"/>
                <w:sz w:val="24"/>
                <w:szCs w:val="24"/>
                <w:highlight w:val="none"/>
                <w:lang w:val="en-US" w:eastAsia="zh-CN"/>
              </w:rPr>
              <w:t xml:space="preserve">高空与修剪专项安全：</w:t>
            </w:r>
            <w:r>
              <w:rPr>
                <w:rFonts w:hint="eastAsia" w:ascii="宋体" w:hAnsi="宋体" w:eastAsia="宋体" w:cs="宋体"/>
                <w:color w:val="auto"/>
                <w:sz w:val="24"/>
                <w:szCs w:val="24"/>
                <w:highlight w:val="none"/>
                <w:lang w:val="en-US" w:eastAsia="zh-CN" w:bidi="ar"/>
              </w:rPr>
              <w:t xml:space="preserve">高空作业必须使用合规高空作业设备，作业人员全程佩戴安全帽、安全带，地面划定专属作业区域、设置专职监护人员。各类修剪、占道作业须提前落实安全报备与现场防护，修剪产生的枝条、杂物须及时清运，占道堆放时长不得超过4小时，杜绝占道安全隐患。</w:t>
            </w:r>
            <w:r>
              <w:rPr>
                <w:color w:val="auto"/>
                <w:highlight w:val="none"/>
              </w:rPr>
            </w:r>
            <w:r/>
          </w:p>
          <w:p>
            <w:pPr>
              <w:pStyle w:val="873"/>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⑤</w:t>
            </w:r>
            <w:r>
              <w:rPr>
                <w:rFonts w:hint="eastAsia" w:ascii="宋体" w:hAnsi="宋体" w:eastAsia="宋体" w:cs="宋体"/>
                <w:b/>
                <w:bCs/>
                <w:color w:val="auto"/>
                <w:sz w:val="24"/>
                <w:szCs w:val="24"/>
                <w:highlight w:val="none"/>
                <w:lang w:val="en-US" w:eastAsia="zh-CN"/>
              </w:rPr>
              <w:t xml:space="preserve">全域安全责任管控：</w:t>
            </w:r>
            <w:r>
              <w:rPr>
                <w:rFonts w:hint="eastAsia" w:ascii="宋体" w:hAnsi="宋体" w:eastAsia="宋体" w:cs="宋体"/>
                <w:color w:val="auto"/>
                <w:sz w:val="24"/>
                <w:szCs w:val="24"/>
                <w:highlight w:val="none"/>
                <w:lang w:val="en-US" w:eastAsia="zh-CN" w:bidi="ar"/>
              </w:rPr>
              <w:t xml:space="preserve">养护全过程的安全生产责任、作业事故责任、第三方人身及财产损害责任，以及对应全部经济损失，均由中标人全权承担。喷药、修剪、设施维修、防汛防台、水体清理等所有养护作业，须自行落实全套安全防护措施，常态化排查并整改设施安全隐患，确保现场及设施安全稳定。养护期内，项目发生一般安全事故的，当月考核得分按80分计取；发生一般安全事故等级以上事故的，采购人有权中止养护合同，并重新组织招标。</w:t>
            </w:r>
            <w:r>
              <w:rPr>
                <w:color w:val="auto"/>
                <w:highlight w:val="none"/>
              </w:rPr>
            </w:r>
            <w:r/>
          </w:p>
          <w:p>
            <w:pPr>
              <w:pStyle w:val="873"/>
              <w:jc w:val="left"/>
              <w:keepLines w:val="0"/>
              <w:keepNext w:val="0"/>
              <w:spacing w:line="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⑥</w:t>
            </w:r>
            <w:r>
              <w:rPr>
                <w:rFonts w:hint="eastAsia" w:ascii="宋体" w:hAnsi="宋体" w:eastAsia="宋体" w:cs="宋体"/>
                <w:b/>
                <w:bCs/>
                <w:color w:val="auto"/>
                <w:sz w:val="24"/>
                <w:szCs w:val="24"/>
                <w:highlight w:val="none"/>
                <w:lang w:val="en-US" w:eastAsia="zh-CN"/>
              </w:rPr>
              <w:t xml:space="preserve">药剂使用规范管理：</w:t>
            </w:r>
            <w:r>
              <w:rPr>
                <w:rFonts w:hint="eastAsia" w:ascii="宋体" w:hAnsi="宋体" w:eastAsia="宋体" w:cs="宋体"/>
                <w:color w:val="auto"/>
                <w:sz w:val="24"/>
                <w:szCs w:val="24"/>
                <w:highlight w:val="none"/>
                <w:lang w:val="en-US" w:eastAsia="zh-CN" w:bidi="ar"/>
              </w:rPr>
              <w:t xml:space="preserve">严禁使用国家明令禁止的剧毒、高残留、违禁农药。施药作业前须书面告知采购人，现场规范设置警示标识，合理规划作业路线；瓜果挂果期严禁开展喷药作业，药剂残渣、废弃药瓶及容器须按规范完成无害化处置。因违规施药、管护不当引发的安全事故、经济损失及追责，全部由中标人自行承担。</w:t>
            </w:r>
            <w:r>
              <w:rPr>
                <w:color w:val="auto"/>
                <w:highlight w:val="none"/>
              </w:rPr>
            </w:r>
            <w:r/>
          </w:p>
          <w:p>
            <w:pPr>
              <w:pStyle w:val="873"/>
              <w:jc w:val="left"/>
              <w:keepLines w:val="0"/>
              <w:keepNext w:val="0"/>
              <w:spacing w:line="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⑦</w:t>
            </w:r>
            <w:r>
              <w:rPr>
                <w:rFonts w:hint="eastAsia" w:ascii="宋体" w:hAnsi="宋体" w:eastAsia="宋体" w:cs="宋体"/>
                <w:b/>
                <w:bCs/>
                <w:color w:val="auto"/>
                <w:sz w:val="24"/>
                <w:szCs w:val="24"/>
                <w:highlight w:val="none"/>
                <w:lang w:val="en-US" w:eastAsia="zh-CN"/>
              </w:rPr>
              <w:t xml:space="preserve">安全文明施工管控：</w:t>
            </w:r>
            <w:r>
              <w:rPr>
                <w:rFonts w:hint="eastAsia" w:ascii="宋体" w:hAnsi="宋体" w:eastAsia="宋体" w:cs="宋体"/>
                <w:color w:val="auto"/>
                <w:sz w:val="24"/>
                <w:szCs w:val="24"/>
                <w:highlight w:val="none"/>
                <w:lang w:val="en-US" w:eastAsia="zh-CN" w:bidi="ar"/>
              </w:rPr>
              <w:t xml:space="preserve">种植及养护作业须严格遵守交通安全法规，作业车辆规范停放，因交通违规产生的处罚及后果由中标人自行承担。施工现场按需布设临时围挡、警示线、锥形桶等防护设施，防护不到位引发的各类事故及损失均由中标人负责。严格落实扬尘防控措施，做好施工现场扬尘治理，防控缺失造成的行政处罚及一切后果由中标人自行承担。作业产生的多余草花、旧花、绿化废弃物等，须当日清理、合规处置，不得遗留堆积。农药喷洒、树干涂白等作业须规避行人、过往车辆，杜绝污染飞溅，产生的飞溅杂物及时清理干净。</w:t>
            </w:r>
            <w:r>
              <w:rPr>
                <w:color w:val="auto"/>
                <w:highlight w:val="none"/>
              </w:rPr>
            </w:r>
            <w:r/>
          </w:p>
          <w:p>
            <w:pPr>
              <w:pStyle w:val="873"/>
              <w:jc w:val="left"/>
              <w:keepLines w:val="0"/>
              <w:keepNext w:val="0"/>
              <w:spacing w:line="0" w:lineRule="atLeast"/>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⑧</w:t>
            </w:r>
            <w:r>
              <w:rPr>
                <w:rFonts w:hint="eastAsia" w:ascii="宋体" w:hAnsi="宋体" w:eastAsia="宋体" w:cs="宋体"/>
                <w:b/>
                <w:bCs/>
                <w:color w:val="auto"/>
                <w:sz w:val="24"/>
                <w:szCs w:val="24"/>
                <w:highlight w:val="none"/>
                <w:lang w:val="en-US" w:eastAsia="zh-CN"/>
              </w:rPr>
              <w:t xml:space="preserve">抢险救灾与应急演练：</w:t>
            </w:r>
            <w:r>
              <w:rPr>
                <w:rFonts w:hint="eastAsia" w:ascii="宋体" w:hAnsi="宋体" w:eastAsia="宋体" w:cs="宋体"/>
                <w:color w:val="auto"/>
                <w:sz w:val="24"/>
                <w:szCs w:val="24"/>
                <w:highlight w:val="none"/>
                <w:lang w:val="en-US" w:eastAsia="zh-CN" w:bidi="ar"/>
              </w:rPr>
              <w:t xml:space="preserve">中标人全权负责项目全域抢险、消险、救灾工作，严格执行安全作业规范，无条件服从采购人及属地主管部门统一调度。定期、不定期组织突发事件应急演练，持续提升全员应急处置、抢险救灾能力，保障突发工况快速闭环处置。</w:t>
            </w:r>
            <w:r>
              <w:rPr>
                <w:color w:val="auto"/>
                <w:highlight w:val="none"/>
              </w:rPr>
            </w:r>
            <w:r/>
          </w:p>
          <w:p>
            <w:pPr>
              <w:pStyle w:val="873"/>
              <w:jc w:val="left"/>
              <w:keepLines w:val="0"/>
              <w:keepNext w:val="0"/>
              <w:spacing w:line="0" w:lineRule="atLeast"/>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b/>
                <w:bCs/>
                <w:color w:val="auto"/>
                <w:sz w:val="24"/>
                <w:szCs w:val="24"/>
                <w:highlight w:val="none"/>
                <w:lang w:val="en-US" w:eastAsia="zh-CN"/>
              </w:rPr>
              <w:t xml:space="preserve">综合事务保障、问题闭环及事故损毁管控</w:t>
            </w:r>
            <w:r>
              <w:rPr>
                <w:color w:val="auto"/>
                <w:highlight w:val="none"/>
              </w:rPr>
            </w:r>
            <w:r/>
          </w:p>
          <w:p>
            <w:pPr>
              <w:pStyle w:val="873"/>
              <w:jc w:val="left"/>
              <w:keepLines w:val="0"/>
              <w:keepNext w:val="0"/>
              <w:spacing w:line="0" w:lineRule="atLeast"/>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CN" w:bidi="ar"/>
              </w:rPr>
              <w:t xml:space="preserve">①</w:t>
            </w:r>
            <w:r>
              <w:rPr>
                <w:rFonts w:hint="eastAsia" w:ascii="宋体" w:hAnsi="宋体" w:eastAsia="宋体" w:cs="宋体"/>
                <w:b/>
                <w:bCs/>
                <w:color w:val="auto"/>
                <w:sz w:val="24"/>
                <w:szCs w:val="24"/>
                <w:highlight w:val="none"/>
                <w:lang w:val="en-US" w:eastAsia="zh-CN"/>
              </w:rPr>
              <w:t xml:space="preserve">临时性、指定性工作任务：</w:t>
            </w:r>
            <w:r>
              <w:rPr>
                <w:rFonts w:hint="eastAsia" w:ascii="宋体" w:hAnsi="宋体" w:eastAsia="宋体" w:cs="宋体"/>
                <w:b w:val="0"/>
                <w:bCs w:val="0"/>
                <w:color w:val="auto"/>
                <w:sz w:val="24"/>
                <w:szCs w:val="24"/>
                <w:highlight w:val="none"/>
                <w:lang w:val="en-US" w:eastAsia="zh-CN" w:bidi="ar"/>
              </w:rPr>
              <w:t xml:space="preserve">中标人须无条件完成采购人日常布置的各类指定性、临时性养护及管理工作任务，全力配合项目各项管护、检查、整改配套工作。</w:t>
            </w:r>
            <w:r>
              <w:rPr>
                <w:color w:val="auto"/>
                <w:highlight w:val="none"/>
              </w:rPr>
            </w:r>
            <w:r/>
          </w:p>
          <w:p>
            <w:pPr>
              <w:pStyle w:val="873"/>
              <w:jc w:val="left"/>
              <w:keepLines w:val="0"/>
              <w:keepNext w:val="0"/>
              <w:spacing w:line="0" w:lineRule="atLeast"/>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CN" w:bidi="ar"/>
              </w:rPr>
              <w:t xml:space="preserve">②</w:t>
            </w:r>
            <w:r>
              <w:rPr>
                <w:rFonts w:hint="eastAsia" w:ascii="宋体" w:hAnsi="宋体" w:eastAsia="宋体" w:cs="宋体"/>
                <w:b/>
                <w:bCs/>
                <w:color w:val="auto"/>
                <w:sz w:val="24"/>
                <w:szCs w:val="24"/>
                <w:highlight w:val="none"/>
                <w:lang w:val="en-US" w:eastAsia="zh-CN"/>
              </w:rPr>
              <w:t xml:space="preserve">重大活动与节假日24小时值守保障：</w:t>
            </w:r>
            <w:r>
              <w:rPr>
                <w:rFonts w:hint="eastAsia" w:ascii="宋体" w:hAnsi="宋体" w:eastAsia="宋体" w:cs="宋体"/>
                <w:b w:val="0"/>
                <w:bCs w:val="0"/>
                <w:color w:val="auto"/>
                <w:sz w:val="24"/>
                <w:szCs w:val="24"/>
                <w:highlight w:val="none"/>
                <w:lang w:val="en-US" w:eastAsia="zh-CN" w:bidi="ar"/>
              </w:rPr>
              <w:t xml:space="preserve">无条件完成项目范围内文明城市创建、重大活动环境保障、城市综合治理标准化检查等突发性、重大性保障任务。节假日、防汛、扫雪防冻期间严格实行24小时专人值守保障制度，随时响应各类保障需求。</w:t>
            </w:r>
            <w:r>
              <w:rPr>
                <w:color w:val="auto"/>
                <w:highlight w:val="none"/>
              </w:rPr>
            </w:r>
            <w:r/>
          </w:p>
          <w:p>
            <w:pPr>
              <w:pStyle w:val="873"/>
              <w:jc w:val="left"/>
              <w:keepLines w:val="0"/>
              <w:keepNext w:val="0"/>
              <w:spacing w:line="0" w:lineRule="atLeast"/>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CN" w:bidi="ar"/>
              </w:rPr>
              <w:t xml:space="preserve">③</w:t>
            </w:r>
            <w:r>
              <w:rPr>
                <w:rFonts w:hint="eastAsia" w:ascii="宋体" w:hAnsi="宋体" w:eastAsia="宋体" w:cs="宋体"/>
                <w:b/>
                <w:bCs/>
                <w:color w:val="auto"/>
                <w:sz w:val="24"/>
                <w:szCs w:val="24"/>
                <w:highlight w:val="none"/>
                <w:lang w:val="en-US" w:eastAsia="zh-CN"/>
              </w:rPr>
              <w:t xml:space="preserve">信访投诉舆情闭环整改：</w:t>
            </w:r>
            <w:r>
              <w:rPr>
                <w:rFonts w:hint="eastAsia" w:ascii="宋体" w:hAnsi="宋体" w:eastAsia="宋体" w:cs="宋体"/>
                <w:b w:val="0"/>
                <w:bCs w:val="0"/>
                <w:color w:val="auto"/>
                <w:sz w:val="24"/>
                <w:szCs w:val="24"/>
                <w:highlight w:val="none"/>
                <w:lang w:val="en-US" w:eastAsia="zh-CN" w:bidi="ar"/>
              </w:rPr>
              <w:t xml:space="preserve">及时受理、妥善处置养护范围内各类信访、投诉、举报及舆情问题，按期保质完成问题整改、资料归档及闭环回复工作，杜绝负面舆情扩散及遗留问题。</w:t>
            </w:r>
            <w:r>
              <w:rPr>
                <w:color w:val="auto"/>
                <w:highlight w:val="none"/>
              </w:rPr>
            </w:r>
            <w:r/>
          </w:p>
          <w:p>
            <w:pPr>
              <w:pStyle w:val="873"/>
              <w:jc w:val="left"/>
              <w:keepLines w:val="0"/>
              <w:keepNext w:val="0"/>
              <w:spacing w:line="0" w:lineRule="atLeast"/>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CN" w:bidi="ar"/>
              </w:rPr>
              <w:t xml:space="preserve">④</w:t>
            </w:r>
            <w:r>
              <w:rPr>
                <w:rFonts w:hint="eastAsia" w:ascii="宋体" w:hAnsi="宋体" w:eastAsia="宋体" w:cs="宋体"/>
                <w:b/>
                <w:bCs/>
                <w:color w:val="auto"/>
                <w:sz w:val="24"/>
                <w:szCs w:val="24"/>
                <w:highlight w:val="none"/>
                <w:lang w:val="en-US" w:eastAsia="zh-CN"/>
              </w:rPr>
              <w:t xml:space="preserve">交通事故损毁修复专项管控：</w:t>
            </w:r>
            <w:r>
              <w:rPr>
                <w:rFonts w:hint="eastAsia" w:ascii="宋体" w:hAnsi="宋体" w:eastAsia="宋体" w:cs="宋体"/>
                <w:b w:val="0"/>
                <w:bCs w:val="0"/>
                <w:color w:val="auto"/>
                <w:sz w:val="24"/>
                <w:szCs w:val="24"/>
                <w:highlight w:val="none"/>
                <w:lang w:val="en-US" w:eastAsia="zh-CN" w:bidi="ar"/>
              </w:rPr>
              <w:t xml:space="preserve">因交通事故造成苗木、绿化设施损坏的，由中标人全权对接交警部门完成现场处置、破损清理、原貌复原工作；事故赔偿款项须专项用于苗木补植、设施维修、更新复原，严禁挪作他用，确保绿化景观及设施快速恢复原状。</w:t>
            </w:r>
            <w:r>
              <w:rPr>
                <w:color w:val="auto"/>
                <w:highlight w:val="none"/>
              </w:rPr>
            </w:r>
            <w:r/>
          </w:p>
          <w:p>
            <w:pPr>
              <w:pStyle w:val="873"/>
              <w:jc w:val="left"/>
              <w:keepLines w:val="0"/>
              <w:keepNext w:val="0"/>
              <w:spacing w:line="0" w:lineRule="atLeast"/>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CN" w:bidi="ar"/>
              </w:rPr>
              <w:t xml:space="preserve">（7）中标人中标后须在六合经济开</w:t>
            </w:r>
            <w:r>
              <w:rPr>
                <w:rFonts w:hint="eastAsia" w:ascii="宋体" w:hAnsi="宋体" w:eastAsia="宋体" w:cs="宋体"/>
                <w:b w:val="0"/>
                <w:bCs w:val="0"/>
                <w:color w:val="auto"/>
                <w:sz w:val="24"/>
                <w:szCs w:val="24"/>
                <w:highlight w:val="none"/>
                <w:lang w:val="en-US" w:eastAsia="zh-CN" w:bidi="ar"/>
              </w:rPr>
              <w:t xml:space="preserve">发区境内设立养护管理项目部，配套建设标准化办公场地及会议室，悬挂全套规范的养护管理制度、岗位职责、安全管理制度、应急管理制度等标牌，实现项目规范化、标准化管理。项目三通一平、场地硬化、项目部整体建设、办公耗材采购、日常运维管理、人员食宿配套、工间休息场地布置、养护材料工具集中存放、机械设备专属停放区域规划等全部工作及产生的费用，均包含在投标报价内，由中标人全权负责投入及运维，采购人不另行增加任何费用。服务期内须保证项目部整洁规范、正常运营，全程满足采购人日常检查、会议对接、资料归档、现场办公的各项工作需求。</w:t>
            </w:r>
            <w:r>
              <w:rPr>
                <w:color w:val="auto"/>
                <w:highlight w:val="none"/>
              </w:rPr>
            </w:r>
            <w:r/>
          </w:p>
          <w:p>
            <w:pPr>
              <w:pStyle w:val="873"/>
              <w:jc w:val="left"/>
              <w:keepLines w:val="0"/>
              <w:keepNext w:val="0"/>
              <w:spacing w:line="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CN" w:bidi="ar"/>
              </w:rPr>
              <w:t xml:space="preserve">（8）中标人须足额配备满足本项目全域养护需求的各类机械设备及车辆，包括但不限于大中小型洒水车、运输货车、高空升降作业车、巡查应急车、油锯、高枝锯、草坪机、割灌机、汽油喷雾机、绿篱修剪机等。同时配备保险齐全的专用养护巡查车辆，全程配合采购人、监理开展日常巡查、考核检查、安全检查、应急抢险等工作。</w:t>
            </w:r>
            <w:r>
              <w:rPr>
                <w:color w:val="auto"/>
                <w:highlight w:val="none"/>
              </w:rPr>
            </w:r>
            <w:r/>
          </w:p>
          <w:p>
            <w:pPr>
              <w:pStyle w:val="873"/>
              <w:jc w:val="left"/>
              <w:keepLines w:val="0"/>
              <w:keepNext w:val="0"/>
              <w:spacing w:line="0" w:lineRule="atLeast"/>
              <w:widowControl/>
              <w:rPr>
                <w:rFonts w:hint="eastAsia" w:ascii="宋体" w:hAnsi="宋体" w:eastAsia="宋体" w:cs="宋体"/>
                <w:b w:val="0"/>
                <w:bCs w:val="0"/>
                <w:color w:val="auto"/>
                <w:sz w:val="24"/>
                <w:szCs w:val="24"/>
                <w:highlight w:val="none"/>
              </w:rPr>
              <w:suppressLineNumbers w:val="0"/>
            </w:pPr>
            <w:r>
              <w:rPr>
                <w:rStyle w:val="945"/>
                <w:rFonts w:hint="eastAsia" w:ascii="宋体" w:hAnsi="宋体" w:eastAsia="宋体" w:cs="宋体"/>
                <w:b w:val="0"/>
                <w:bCs w:val="0"/>
                <w:color w:val="auto"/>
                <w:sz w:val="24"/>
                <w:szCs w:val="24"/>
                <w:highlight w:val="none"/>
                <w:lang w:val="en-US" w:eastAsia="zh-CN" w:bidi="ar"/>
              </w:rPr>
              <w:t xml:space="preserve">（9）</w:t>
            </w:r>
            <w:r>
              <w:rPr>
                <w:rFonts w:hint="eastAsia" w:ascii="宋体" w:hAnsi="宋体" w:eastAsia="宋体" w:cs="宋体"/>
                <w:b w:val="0"/>
                <w:bCs w:val="0"/>
                <w:color w:val="auto"/>
                <w:sz w:val="24"/>
                <w:szCs w:val="24"/>
                <w:highlight w:val="none"/>
                <w:lang w:val="en-US" w:eastAsia="zh-CN" w:bidi="ar"/>
              </w:rPr>
              <w:t xml:space="preserve">按照招标文件要求合理配备专业绿化养护人员。遇台风、大雨、暴雨、极端高温、极端冻滑天气、政府停工通知、地震、疫情等不适宜作业的特殊条件，可暂停养护人员投入。</w:t>
            </w:r>
            <w:r>
              <w:rPr>
                <w:rFonts w:hint="eastAsia" w:ascii="宋体" w:hAnsi="宋体" w:eastAsia="宋体" w:cs="宋体"/>
                <w:color w:val="auto"/>
                <w:sz w:val="24"/>
                <w:szCs w:val="24"/>
                <w:highlight w:val="none"/>
              </w:rPr>
              <w:t xml:space="preserve">采购人检查发现中标人养护人员在数量、履职能力上无法满足现场养护工作需要，并提出增加养护人员要求的，中标人须无条件完成人员增补工作</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bidi="ar"/>
              </w:rPr>
              <w:t xml:space="preserve">应急、保障工作需增派人员、车辆、设备的，中标人须无条件足额投入，不额外收取任何费用。</w:t>
            </w:r>
            <w:r>
              <w:rPr>
                <w:color w:val="auto"/>
                <w:highlight w:val="none"/>
              </w:rPr>
            </w:r>
            <w:r/>
          </w:p>
          <w:p>
            <w:pPr>
              <w:pStyle w:val="873"/>
              <w:jc w:val="left"/>
              <w:keepLines w:val="0"/>
              <w:keepNext w:val="0"/>
              <w:spacing w:line="0" w:lineRule="atLeast"/>
              <w:widowControl/>
              <w:rPr>
                <w:rFonts w:hint="eastAsia" w:ascii="宋体" w:hAnsi="宋体" w:eastAsia="宋体" w:cs="宋体"/>
                <w:color w:val="auto"/>
                <w:sz w:val="24"/>
                <w:szCs w:val="24"/>
                <w:highlight w:val="none"/>
              </w:rPr>
              <w:suppressLineNumbers w:val="0"/>
            </w:pPr>
            <w:r>
              <w:rPr>
                <w:rStyle w:val="945"/>
                <w:rFonts w:hint="eastAsia" w:ascii="宋体" w:hAnsi="宋体" w:eastAsia="宋体" w:cs="宋体"/>
                <w:b w:val="0"/>
                <w:bCs w:val="0"/>
                <w:color w:val="auto"/>
                <w:sz w:val="24"/>
                <w:szCs w:val="24"/>
                <w:highlight w:val="none"/>
                <w:lang w:val="en-US" w:eastAsia="zh-CN" w:bidi="ar"/>
              </w:rPr>
              <w:t xml:space="preserve">（10）</w:t>
            </w:r>
            <w:r>
              <w:rPr>
                <w:rFonts w:hint="eastAsia" w:ascii="宋体" w:hAnsi="宋体" w:eastAsia="宋体" w:cs="宋体"/>
                <w:color w:val="auto"/>
                <w:sz w:val="24"/>
                <w:szCs w:val="24"/>
                <w:highlight w:val="none"/>
                <w:lang w:val="en-US" w:eastAsia="zh-CN" w:bidi="ar"/>
              </w:rPr>
              <w:t xml:space="preserve">中标人须为全体作业人员购买</w:t>
            </w:r>
            <w:r>
              <w:rPr>
                <w:rStyle w:val="945"/>
                <w:rFonts w:hint="eastAsia" w:ascii="宋体" w:hAnsi="宋体" w:eastAsia="宋体" w:cs="宋体"/>
                <w:color w:val="auto"/>
                <w:sz w:val="24"/>
                <w:szCs w:val="24"/>
                <w:highlight w:val="none"/>
                <w:lang w:val="en-US" w:eastAsia="zh-CN" w:bidi="ar"/>
              </w:rPr>
              <w:t xml:space="preserve">工伤保险、人身意外伤害险、雇主责任险</w:t>
            </w:r>
            <w:r>
              <w:rPr>
                <w:rFonts w:hint="eastAsia" w:ascii="宋体" w:hAnsi="宋体" w:eastAsia="宋体" w:cs="宋体"/>
                <w:color w:val="auto"/>
                <w:sz w:val="24"/>
                <w:szCs w:val="24"/>
                <w:highlight w:val="none"/>
                <w:lang w:val="en-US" w:eastAsia="zh-CN" w:bidi="ar"/>
              </w:rPr>
              <w:t xml:space="preserve">，同时必须购买</w:t>
            </w:r>
            <w:r>
              <w:rPr>
                <w:rStyle w:val="945"/>
                <w:rFonts w:hint="eastAsia" w:ascii="宋体" w:hAnsi="宋体" w:eastAsia="宋体" w:cs="宋体"/>
                <w:color w:val="auto"/>
                <w:sz w:val="24"/>
                <w:szCs w:val="24"/>
                <w:highlight w:val="none"/>
                <w:lang w:val="en-US" w:eastAsia="zh-CN" w:bidi="ar"/>
              </w:rPr>
              <w:t xml:space="preserve">项目全域公众责任险</w:t>
            </w:r>
            <w:r>
              <w:rPr>
                <w:rFonts w:hint="eastAsia" w:ascii="宋体" w:hAnsi="宋体" w:eastAsia="宋体" w:cs="宋体"/>
                <w:color w:val="auto"/>
                <w:sz w:val="24"/>
                <w:szCs w:val="24"/>
                <w:highlight w:val="none"/>
                <w:lang w:val="en-US" w:eastAsia="zh-CN" w:bidi="ar"/>
              </w:rPr>
              <w:t xml:space="preserve">，所有险种投保费用全部包含在投标报价内。公众责任险须覆盖项目全域范围内行道树、苗木、绿化配套及硬质景观设施、公园全域配套设施，保障自然灾害、恶劣天气、人为因素等引发的树木倒伏、枯枝坠落、设施损坏、设备故障等情形造成的第三方人身伤害、财产损失及相关经济赔偿。所有保险理赔限额以外的全部损失、赔偿费用、衍生责任，均由中标人自行全额承担。中标人未按本条款要求投保的，采购人有权不予签约，同时扣除合同总价3%作为违约金，履约期间发生的一切安全事故、赔偿责任、法律风险均由中标人全权承担。</w:t>
            </w:r>
            <w:r>
              <w:rPr>
                <w:color w:val="auto"/>
                <w:highlight w:val="none"/>
              </w:rPr>
            </w:r>
            <w:r/>
          </w:p>
          <w:p>
            <w:pPr>
              <w:pStyle w:val="873"/>
              <w:jc w:val="left"/>
              <w:keepLines w:val="0"/>
              <w:keepNext w:val="0"/>
              <w:spacing w:line="0" w:lineRule="atLeast"/>
              <w:widowControl/>
              <w:rPr>
                <w:rFonts w:hint="eastAsia" w:ascii="宋体" w:hAnsi="宋体" w:eastAsia="宋体" w:cs="宋体"/>
                <w:b w:val="0"/>
                <w:bCs w:val="0"/>
                <w:color w:val="auto"/>
                <w:sz w:val="24"/>
                <w:szCs w:val="24"/>
                <w:highlight w:val="none"/>
              </w:rPr>
              <w:suppressLineNumbers w:val="0"/>
            </w:pPr>
            <w:r>
              <w:rPr>
                <w:rStyle w:val="945"/>
                <w:rFonts w:hint="eastAsia" w:ascii="宋体" w:hAnsi="宋体" w:eastAsia="宋体" w:cs="宋体"/>
                <w:b w:val="0"/>
                <w:bCs w:val="0"/>
                <w:color w:val="auto"/>
                <w:sz w:val="24"/>
                <w:szCs w:val="24"/>
                <w:highlight w:val="none"/>
                <w:lang w:val="en-US" w:eastAsia="zh-CN" w:bidi="ar"/>
              </w:rPr>
              <w:t xml:space="preserve">（11）</w:t>
            </w:r>
            <w:r>
              <w:rPr>
                <w:rFonts w:hint="eastAsia" w:ascii="宋体" w:hAnsi="宋体" w:eastAsia="宋体" w:cs="宋体"/>
                <w:b w:val="0"/>
                <w:bCs w:val="0"/>
                <w:color w:val="auto"/>
                <w:sz w:val="24"/>
                <w:szCs w:val="24"/>
                <w:highlight w:val="none"/>
                <w:lang w:val="en-US" w:eastAsia="zh-CN" w:bidi="ar"/>
              </w:rPr>
              <w:t xml:space="preserve">养护所需水、电由中标人自行解决，接入园区水电须挂表计价缴费。投标人投标前须全面踏勘现场，核查水、电、路、渣土堆放、施工便道等作业条件，按需自备电源、施工设备。所有现场适配、条件改造、隐性投入风险全部纳入投标报价，中标后结算不作任何调整，风险全部由中标人自行承担。</w:t>
            </w:r>
            <w:r>
              <w:rPr>
                <w:color w:val="auto"/>
                <w:highlight w:val="none"/>
              </w:rPr>
            </w:r>
            <w:r/>
          </w:p>
          <w:p>
            <w:pPr>
              <w:pStyle w:val="873"/>
              <w:jc w:val="left"/>
              <w:keepLines w:val="0"/>
              <w:keepNext w:val="0"/>
              <w:spacing w:line="0" w:lineRule="atLeast"/>
              <w:widowControl/>
              <w:rPr>
                <w:rFonts w:hint="eastAsia" w:ascii="宋体" w:hAnsi="宋体" w:eastAsia="宋体" w:cs="宋体"/>
                <w:b w:val="0"/>
                <w:bCs w:val="0"/>
                <w:color w:val="auto"/>
                <w:sz w:val="24"/>
                <w:szCs w:val="24"/>
                <w:highlight w:val="none"/>
              </w:rPr>
              <w:suppressLineNumbers w:val="0"/>
            </w:pPr>
            <w:r>
              <w:rPr>
                <w:rStyle w:val="945"/>
                <w:rFonts w:hint="eastAsia" w:ascii="宋体" w:hAnsi="宋体" w:eastAsia="宋体" w:cs="宋体"/>
                <w:b w:val="0"/>
                <w:bCs w:val="0"/>
                <w:color w:val="auto"/>
                <w:sz w:val="24"/>
                <w:szCs w:val="24"/>
                <w:highlight w:val="none"/>
                <w:lang w:val="en-US" w:eastAsia="zh-CN" w:bidi="ar"/>
              </w:rPr>
              <w:t xml:space="preserve">（12）</w:t>
            </w:r>
            <w:r>
              <w:rPr>
                <w:rFonts w:hint="eastAsia" w:ascii="宋体" w:hAnsi="宋体" w:eastAsia="宋体" w:cs="宋体"/>
                <w:b w:val="0"/>
                <w:bCs w:val="0"/>
                <w:color w:val="auto"/>
                <w:sz w:val="24"/>
                <w:szCs w:val="24"/>
                <w:highlight w:val="none"/>
                <w:lang w:val="en-US" w:eastAsia="zh-CN" w:bidi="ar"/>
              </w:rPr>
              <w:t xml:space="preserve">中标人严禁挪用项目</w:t>
            </w:r>
            <w:r>
              <w:rPr>
                <w:rFonts w:hint="eastAsia" w:ascii="宋体" w:hAnsi="宋体" w:eastAsia="宋体" w:cs="宋体"/>
                <w:b w:val="0"/>
                <w:bCs w:val="0"/>
                <w:color w:val="auto"/>
                <w:sz w:val="24"/>
                <w:szCs w:val="24"/>
                <w:highlight w:val="none"/>
                <w:lang w:val="en-US" w:eastAsia="zh-CN" w:bidi="ar"/>
              </w:rPr>
              <w:t xml:space="preserve">进度款，必须按时足额发放农民工工资；若出现拖欠农民工工资情况，采购人有权暂停支付项目服务费进度款。同时，在本合同项下养护服务款项尚未结清的情形下，若因中标供应商自身涉诉或其他法律纠纷，导致采购人应付的本项目服务款项被人民法院依法冻结、扣划或采取其他保全、执行措施的，采购人有权按照人民法院出具的生效法律文书（包括但不限于裁定书、协助执行通知书等）办理款项支付或配合执行手续。因前述情形产生的全部法律责任、经济损失及一切不利后果，均由中标供应商自行独立承担；采购人不承担任何责任，且有权就因此遭受的损失向乙方追偿。</w:t>
            </w:r>
            <w:r>
              <w:rPr>
                <w:color w:val="auto"/>
                <w:highlight w:val="none"/>
              </w:rPr>
            </w:r>
            <w:r/>
          </w:p>
          <w:p>
            <w:pPr>
              <w:pStyle w:val="873"/>
              <w:jc w:val="left"/>
              <w:keepLines w:val="0"/>
              <w:keepNext w:val="0"/>
              <w:spacing w:line="0" w:lineRule="atLeast"/>
              <w:widowControl/>
              <w:rPr>
                <w:rFonts w:hint="eastAsia" w:ascii="宋体" w:hAnsi="宋体" w:eastAsia="宋体" w:cs="宋体"/>
                <w:color w:val="auto"/>
                <w:sz w:val="24"/>
                <w:szCs w:val="24"/>
                <w:highlight w:val="none"/>
              </w:rPr>
              <w:suppressLineNumbers w:val="0"/>
            </w:pPr>
            <w:r>
              <w:rPr>
                <w:rStyle w:val="945"/>
                <w:rFonts w:hint="eastAsia" w:ascii="宋体" w:hAnsi="宋体" w:eastAsia="宋体" w:cs="宋体"/>
                <w:b w:val="0"/>
                <w:bCs w:val="0"/>
                <w:color w:val="auto"/>
                <w:sz w:val="24"/>
                <w:szCs w:val="24"/>
                <w:highlight w:val="none"/>
                <w:lang w:val="en-US" w:eastAsia="zh-CN" w:bidi="ar"/>
              </w:rPr>
              <w:t xml:space="preserve">（13）</w:t>
            </w:r>
            <w:r>
              <w:rPr>
                <w:rFonts w:hint="eastAsia" w:ascii="宋体" w:hAnsi="宋体" w:eastAsia="宋体" w:cs="宋体"/>
                <w:b w:val="0"/>
                <w:bCs w:val="0"/>
                <w:color w:val="auto"/>
                <w:sz w:val="24"/>
                <w:szCs w:val="24"/>
                <w:highlight w:val="none"/>
                <w:lang w:val="en-US" w:eastAsia="zh-CN" w:bidi="ar"/>
              </w:rPr>
              <w:t xml:space="preserve">养护作业按规定进场报验，严禁使用不合格材料、擅自替换标准用材，违规作业的不予验收、责令清退出场，产生的全部损失及费用由中标人自行承担。</w:t>
            </w:r>
            <w:r>
              <w:rPr>
                <w:color w:val="auto"/>
                <w:highlight w:val="none"/>
              </w:rPr>
            </w:r>
            <w:r/>
          </w:p>
          <w:p>
            <w:pPr>
              <w:pStyle w:val="873"/>
              <w:jc w:val="left"/>
              <w:keepLines w:val="0"/>
              <w:keepNext w:val="0"/>
              <w:spacing w:line="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指令性工作：</w:t>
            </w:r>
            <w:r>
              <w:rPr>
                <w:rFonts w:hint="eastAsia" w:ascii="宋体" w:hAnsi="宋体" w:eastAsia="宋体" w:cs="宋体"/>
                <w:color w:val="auto"/>
                <w:sz w:val="24"/>
                <w:szCs w:val="24"/>
                <w:highlight w:val="none"/>
              </w:rPr>
              <w:t xml:space="preserve">本项目园林绿化养护工作涵盖内容多、涉及范围广，包含多项服务保障、环境整治等工作，部分工作存在不可预见因素；当发生突发活动保障等情况时，采购人可向中标人下达指令性任务，中标人须自行综合考量并承担由此产生的全部潜在风险，同时无条件严格执行采购人下达的指令性工作安排。</w:t>
            </w:r>
            <w:r>
              <w:rPr>
                <w:color w:val="auto"/>
                <w:highlight w:val="none"/>
              </w:rPr>
            </w:r>
            <w:r/>
          </w:p>
        </w:tc>
      </w:tr>
    </w:tbl>
    <w:p>
      <w:pPr>
        <w:pStyle w:val="873"/>
        <w:spacing w:line="0" w:lineRule="atLeast"/>
        <w:rPr>
          <w:rFonts w:hint="eastAsia" w:ascii="宋体" w:hAnsi="宋体" w:eastAsia="宋体" w:cs="宋体"/>
          <w:b w:val="0"/>
          <w:bCs w:val="0"/>
          <w:color w:val="auto"/>
          <w:spacing w:val="0"/>
          <w:sz w:val="24"/>
          <w:szCs w:val="24"/>
          <w:highlight w:val="none"/>
        </w:rPr>
      </w:pPr>
      <w:r>
        <w:rPr>
          <w:rFonts w:hint="eastAsia" w:ascii="宋体" w:hAnsi="宋体" w:eastAsia="宋体" w:cs="宋体"/>
          <w:b w:val="0"/>
          <w:bCs w:val="0"/>
          <w:color w:val="auto"/>
          <w:spacing w:val="0"/>
          <w:sz w:val="24"/>
          <w:szCs w:val="24"/>
          <w:highlight w:val="none"/>
          <w:lang w:val="en-US" w:eastAsia="zh-CN"/>
        </w:rPr>
        <w:t xml:space="preserve">5.</w:t>
      </w:r>
      <w:r>
        <w:rPr>
          <w:rFonts w:hint="eastAsia" w:ascii="宋体" w:hAnsi="宋体" w:eastAsia="宋体" w:cs="宋体"/>
          <w:b w:val="0"/>
          <w:bCs w:val="0"/>
          <w:color w:val="auto"/>
          <w:spacing w:val="0"/>
          <w:sz w:val="24"/>
          <w:szCs w:val="24"/>
          <w:highlight w:val="none"/>
          <w:lang w:eastAsia="zh-CN"/>
        </w:rPr>
        <w:t xml:space="preserve">六合经济开发区2026-2027年度二片区园林绿化养护项目（履约条款）</w:t>
      </w:r>
      <w:r>
        <w:rPr>
          <w:color w:val="auto"/>
          <w:highlight w:val="none"/>
        </w:rPr>
      </w:r>
      <w:r/>
    </w:p>
    <w:tbl>
      <w:tblPr>
        <w:tblW w:w="0" w:type="auto"/>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14"/>
      </w:tblGrid>
      <w:tr>
        <w:trPr>
          <w:trHeight w:val="496"/>
        </w:trPr>
        <w:tc>
          <w:tcPr>
            <w:tcW w:w="10114" w:type="dxa"/>
            <w:vAlign w:val="top"/>
            <w:textDirection w:val="lrTb"/>
            <w:noWrap w:val="false"/>
          </w:tcPr>
          <w:p>
            <w:pPr>
              <w:pStyle w:val="873"/>
              <w:numPr>
                <w:ilvl w:val="0"/>
                <w:numId w:val="0"/>
              </w:numPr>
              <w:jc w:val="left"/>
              <w:keepLines w:val="0"/>
              <w:keepNext w:val="0"/>
              <w:spacing w:line="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b/>
                <w:bCs/>
                <w:color w:val="auto"/>
                <w:sz w:val="24"/>
                <w:szCs w:val="24"/>
                <w:highlight w:val="none"/>
                <w:lang w:val="en-US" w:eastAsia="zh-CN"/>
              </w:rPr>
              <w:t xml:space="preserve">报价踏勘：</w:t>
            </w:r>
            <w:r>
              <w:rPr>
                <w:rFonts w:hint="eastAsia" w:ascii="宋体" w:hAnsi="宋体" w:eastAsia="宋体" w:cs="宋体"/>
                <w:color w:val="auto"/>
                <w:sz w:val="24"/>
                <w:szCs w:val="24"/>
                <w:highlight w:val="none"/>
                <w:lang w:val="en-US" w:eastAsia="zh-CN" w:bidi="ar"/>
              </w:rPr>
              <w:t xml:space="preserve">本项目招标清单所列养护数量、面积仅作为投标人报价参考依据，清单与现场实际养护范围、作业工程量存在偏差，属于正常履约风险范畴。投标人须在投标前自行完成项目现场全面踏勘，核实全域养护范围、作业内容及实际工程量，充分预判现场、工程量增减、季节气候、自然灾害、现场管理及各类隐性投入等潜在风险，自主综合研判后合理报价。</w:t>
            </w:r>
            <w:r>
              <w:rPr>
                <w:color w:val="auto"/>
                <w:highlight w:val="none"/>
              </w:rPr>
            </w:r>
            <w:r/>
          </w:p>
          <w:p>
            <w:pPr>
              <w:pStyle w:val="873"/>
              <w:numPr>
                <w:ilvl w:val="0"/>
                <w:numId w:val="0"/>
              </w:numPr>
              <w:jc w:val="left"/>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b/>
                <w:bCs/>
                <w:color w:val="auto"/>
                <w:sz w:val="24"/>
                <w:szCs w:val="24"/>
                <w:highlight w:val="none"/>
                <w:lang w:val="en-US" w:eastAsia="zh-CN"/>
              </w:rPr>
              <w:t xml:space="preserve">计价原则：</w:t>
            </w:r>
            <w:r>
              <w:rPr>
                <w:rFonts w:hint="eastAsia" w:ascii="宋体" w:hAnsi="宋体" w:eastAsia="宋体" w:cs="宋体"/>
                <w:color w:val="auto"/>
                <w:sz w:val="24"/>
                <w:szCs w:val="24"/>
                <w:highlight w:val="none"/>
                <w:lang w:val="en-US" w:eastAsia="zh-CN" w:bidi="ar"/>
              </w:rPr>
              <w:t xml:space="preserve">本项目以现场复核后的实际养护面积为唯一计价基数，期间如有增减，按月调整。</w:t>
            </w:r>
            <w:r>
              <w:rPr>
                <w:color w:val="auto"/>
                <w:highlight w:val="none"/>
              </w:rPr>
            </w:r>
            <w:r/>
          </w:p>
          <w:p>
            <w:pPr>
              <w:pStyle w:val="873"/>
              <w:jc w:val="left"/>
              <w:keepLines w:val="0"/>
              <w:keepNext w:val="0"/>
              <w:spacing w:line="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b/>
                <w:bCs/>
                <w:color w:val="auto"/>
                <w:sz w:val="24"/>
                <w:szCs w:val="24"/>
                <w:highlight w:val="none"/>
                <w:lang w:val="en-US" w:eastAsia="zh-CN"/>
              </w:rPr>
              <w:t xml:space="preserve">安全风险兜底责任：</w:t>
            </w:r>
            <w:r>
              <w:rPr>
                <w:rFonts w:hint="eastAsia" w:ascii="宋体" w:hAnsi="宋体" w:eastAsia="宋体" w:cs="宋体"/>
                <w:color w:val="auto"/>
                <w:sz w:val="24"/>
                <w:szCs w:val="24"/>
                <w:highlight w:val="none"/>
                <w:lang w:val="en-US" w:eastAsia="zh-CN" w:bidi="ar"/>
              </w:rPr>
              <w:t xml:space="preserve">服务期内，无论因恶劣天气、自然灾害、极端气象、人为破坏、苗木及材料质量缺陷、施工养护不当、设施老化、作业不规范等各类原因，引发的安</w:t>
            </w:r>
            <w:r>
              <w:rPr>
                <w:rFonts w:hint="eastAsia" w:ascii="宋体" w:hAnsi="宋体" w:eastAsia="宋体" w:cs="宋体"/>
                <w:color w:val="auto"/>
                <w:sz w:val="24"/>
                <w:szCs w:val="24"/>
                <w:highlight w:val="none"/>
                <w:lang w:val="en-US" w:eastAsia="zh-CN" w:bidi="ar"/>
              </w:rPr>
              <w:t xml:space="preserve">全事故、设施损毁、苗木死亡损毁、场地破损，以及造成的第三方人身伤害、财产损失、舆情损失、行政处罚费用等，产生的全部经济赔偿、整改成本、法律责任、连带责任均由中标人自行全额承担。大风、暴雨、暴雪、台风等极端天气前置防护、安全隐患排查整治、应急防护物资筹备等所有风险防范工作及对应费用，均全额包含在投标报价内，采购人不另行追加任何费用。若因中标人管护失职、作业违规、风险防控不到位造成第三方人身伤害、财产损失，采购人因此遭受损失、被追责、被索赔的，采购人有权依法向中标人全额追偿，所有追偿费用、维权成本由中标人承担。</w:t>
            </w:r>
            <w:r>
              <w:rPr>
                <w:color w:val="auto"/>
                <w:highlight w:val="none"/>
              </w:rPr>
            </w:r>
            <w:r/>
          </w:p>
          <w:p>
            <w:pPr>
              <w:pStyle w:val="873"/>
              <w:jc w:val="left"/>
              <w:keepLines w:val="0"/>
              <w:keepNext w:val="0"/>
              <w:spacing w:line="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w:t>
            </w:r>
            <w:r>
              <w:rPr>
                <w:rFonts w:hint="eastAsia" w:ascii="宋体" w:hAnsi="宋体" w:eastAsia="宋体" w:cs="宋体"/>
                <w:b/>
                <w:bCs/>
                <w:color w:val="auto"/>
                <w:sz w:val="24"/>
                <w:szCs w:val="24"/>
                <w:highlight w:val="none"/>
                <w:lang w:val="en-US" w:eastAsia="zh-CN"/>
              </w:rPr>
              <w:t xml:space="preserve">时限履约考核约定：</w:t>
            </w:r>
            <w:r>
              <w:rPr>
                <w:rFonts w:hint="eastAsia" w:ascii="宋体" w:hAnsi="宋体" w:eastAsia="宋体" w:cs="宋体"/>
                <w:color w:val="auto"/>
                <w:sz w:val="24"/>
                <w:szCs w:val="24"/>
                <w:highlight w:val="none"/>
                <w:lang w:val="en-US" w:eastAsia="zh-CN" w:bidi="ar"/>
              </w:rPr>
              <w:t xml:space="preserve">项目所有苗木更换、设施抢修、应急处置等工作，须严格按照招标文件及合同约定时限完成。未按期保质完成履约任务的，视同中标人违约，由此产生的一切损失，采购人有权从当期服务费用中据实扣除。</w:t>
            </w:r>
            <w:r>
              <w:rPr>
                <w:color w:val="auto"/>
                <w:highlight w:val="none"/>
              </w:rPr>
            </w:r>
            <w:r/>
          </w:p>
          <w:p>
            <w:pPr>
              <w:pStyle w:val="873"/>
              <w:jc w:val="left"/>
              <w:keepLines w:val="0"/>
              <w:keepNext w:val="0"/>
              <w:spacing w:line="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（5）中标人须如实、规范报送结算资料，若最终审计核减额超过5%，对应核减部分的审计费用由中标人承担，采购人可在支付服务费时直接扣除。</w:t>
            </w:r>
            <w:r>
              <w:rPr>
                <w:color w:val="auto"/>
                <w:highlight w:val="none"/>
              </w:rPr>
            </w:r>
            <w:r/>
          </w:p>
        </w:tc>
      </w:tr>
    </w:tbl>
    <w:p>
      <w:pPr>
        <w:pStyle w:val="873"/>
        <w:jc w:val="left"/>
        <w:spacing w:line="240" w:lineRule="auto"/>
        <w:widowControl/>
        <w:rPr>
          <w:rFonts w:ascii="Times New Roman" w:hAnsi="Times New Roman" w:eastAsia="宋体" w:cs="Times New Roman"/>
          <w:b w:val="0"/>
          <w:bCs w:val="0"/>
          <w:color w:val="auto"/>
          <w:spacing w:val="0"/>
          <w:sz w:val="21"/>
          <w:szCs w:val="21"/>
          <w:highlight w:val="none"/>
        </w:rPr>
      </w:pPr>
      <w:r>
        <w:rPr>
          <w:rFonts w:ascii="Times New Roman" w:hAnsi="Times New Roman" w:eastAsia="宋体" w:cs="Times New Roman"/>
          <w:b w:val="0"/>
          <w:bCs w:val="0"/>
          <w:color w:val="auto"/>
          <w:spacing w:val="0"/>
          <w:sz w:val="21"/>
          <w:szCs w:val="21"/>
          <w:highlight w:val="none"/>
          <w:lang w:bidi="ar"/>
        </w:rPr>
      </w:r>
      <w:r>
        <w:rPr>
          <w:color w:val="auto"/>
          <w:highlight w:val="none"/>
        </w:rPr>
      </w:r>
      <w:r/>
    </w:p>
    <w:p>
      <w:pPr>
        <w:pStyle w:val="873"/>
        <w:jc w:val="left"/>
        <w:spacing w:line="240" w:lineRule="auto"/>
        <w:widowControl/>
        <w:rPr>
          <w:rFonts w:ascii="Times New Roman" w:hAnsi="Times New Roman" w:eastAsia="宋体" w:cs="Times New Roman"/>
          <w:b w:val="0"/>
          <w:bCs w:val="0"/>
          <w:color w:val="auto"/>
          <w:spacing w:val="0"/>
          <w:sz w:val="21"/>
          <w:szCs w:val="21"/>
          <w:highlight w:val="none"/>
        </w:rPr>
      </w:pPr>
      <w:r>
        <w:rPr>
          <w:rFonts w:ascii="Times New Roman" w:hAnsi="Times New Roman" w:eastAsia="宋体" w:cs="Times New Roman"/>
          <w:b w:val="0"/>
          <w:bCs w:val="0"/>
          <w:color w:val="auto"/>
          <w:spacing w:val="0"/>
          <w:sz w:val="21"/>
          <w:szCs w:val="21"/>
          <w:highlight w:val="none"/>
          <w:lang w:val="en-US" w:eastAsia="zh-CN" w:bidi="ar"/>
        </w:rPr>
        <w:t xml:space="preserve">6.</w:t>
      </w:r>
      <w:r>
        <w:rPr>
          <w:rFonts w:ascii="Times New Roman" w:hAnsi="Times New Roman" w:eastAsia="宋体" w:cs="Times New Roman"/>
          <w:b w:val="0"/>
          <w:bCs w:val="0"/>
          <w:color w:val="auto"/>
          <w:spacing w:val="0"/>
          <w:sz w:val="21"/>
          <w:szCs w:val="21"/>
          <w:highlight w:val="none"/>
          <w:lang w:eastAsia="zh-CN" w:bidi="ar"/>
        </w:rPr>
        <w:t xml:space="preserve">六合经济开发区2026-2027年度二片区园林绿化养护项目</w:t>
      </w:r>
      <w:r>
        <w:rPr>
          <w:rFonts w:ascii="Times New Roman" w:hAnsi="Times New Roman" w:eastAsia="宋体" w:cs="Times New Roman"/>
          <w:b w:val="0"/>
          <w:bCs w:val="0"/>
          <w:color w:val="auto"/>
          <w:spacing w:val="0"/>
          <w:sz w:val="21"/>
          <w:szCs w:val="21"/>
          <w:highlight w:val="none"/>
          <w:lang w:bidi="ar"/>
        </w:rPr>
        <w:t xml:space="preserve">（违约条款约定）</w:t>
      </w:r>
      <w:r>
        <w:rPr>
          <w:color w:val="auto"/>
          <w:highlight w:val="none"/>
        </w:rPr>
      </w:r>
      <w:r/>
    </w:p>
    <w:tbl>
      <w:tblPr>
        <w:tblW w:w="0" w:type="auto"/>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14"/>
      </w:tblGrid>
      <w:tr>
        <w:trPr>
          <w:trHeight w:val="980"/>
        </w:trPr>
        <w:tc>
          <w:tcPr>
            <w:tcW w:w="10114" w:type="dxa"/>
            <w:vAlign w:val="top"/>
            <w:textDirection w:val="lrTb"/>
            <w:noWrap w:val="false"/>
          </w:tcPr>
          <w:p>
            <w:pPr>
              <w:pStyle w:val="873"/>
              <w:jc w:val="left"/>
              <w:keepLines w:val="0"/>
              <w:keepNext w:val="0"/>
              <w:widowControl/>
              <w:rPr>
                <w:rFonts w:ascii="Times New Roman" w:hAnsi="Times New Roman" w:eastAsia="宋体" w:cs="Times New Roman"/>
                <w:color w:val="auto"/>
                <w:sz w:val="21"/>
                <w:szCs w:val="21"/>
                <w:highlight w:val="none"/>
              </w:rPr>
              <w:suppressLineNumbers w:val="0"/>
            </w:pPr>
            <w:r>
              <w:rPr>
                <w:rFonts w:ascii="Times New Roman" w:hAnsi="Times New Roman" w:eastAsia="宋体" w:cs="Times New Roman"/>
                <w:color w:val="auto"/>
                <w:sz w:val="21"/>
                <w:szCs w:val="21"/>
                <w:highlight w:val="none"/>
                <w:lang w:val="en-US" w:eastAsia="zh-CN" w:bidi="ar"/>
              </w:rPr>
              <w:t xml:space="preserve">除考核扣分外采购人有权可再按照以下约定执行：</w:t>
            </w:r>
            <w:r>
              <w:rPr>
                <w:color w:val="auto"/>
                <w:highlight w:val="none"/>
              </w:rPr>
            </w:r>
            <w:r/>
          </w:p>
          <w:p>
            <w:pPr>
              <w:pStyle w:val="873"/>
              <w:jc w:val="left"/>
              <w:keepLines w:val="0"/>
              <w:keepNext w:val="0"/>
              <w:widowControl/>
              <w:rPr>
                <w:rFonts w:ascii="Times New Roman" w:hAnsi="Times New Roman" w:eastAsia="宋体" w:cs="Times New Roman"/>
                <w:color w:val="auto"/>
                <w:sz w:val="21"/>
                <w:szCs w:val="21"/>
                <w:highlight w:val="none"/>
              </w:rPr>
              <w:suppressLineNumbers w:val="0"/>
            </w:pPr>
            <w:r>
              <w:rPr>
                <w:rFonts w:ascii="Times New Roman" w:hAnsi="Times New Roman" w:eastAsia="宋体" w:cs="Times New Roman"/>
                <w:color w:val="auto"/>
                <w:sz w:val="21"/>
                <w:szCs w:val="21"/>
                <w:highlight w:val="none"/>
                <w:lang w:val="en-US" w:eastAsia="zh-CN" w:bidi="ar"/>
              </w:rPr>
              <w:t xml:space="preserve">中标人出现以下严重违约情形的，采购人可直接依据本条款计收违约金，同步书面责令中标人限期整改；造成采购人经济损失、声誉受损或行政追责的，中标人须全额赔偿采购人实际损失；情节特别严重的，采购人有权依据主合同约定单方解除合同，且不承担任何违约责任：</w:t>
            </w:r>
            <w:r>
              <w:rPr>
                <w:color w:val="auto"/>
                <w:highlight w:val="none"/>
              </w:rPr>
            </w:r>
            <w:r/>
          </w:p>
          <w:p>
            <w:pPr>
              <w:pStyle w:val="873"/>
              <w:jc w:val="left"/>
              <w:widowControl/>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bidi="ar"/>
              </w:rPr>
              <w:t xml:space="preserve">（1）</w:t>
            </w:r>
            <w:r>
              <w:rPr>
                <w:rFonts w:ascii="Times New Roman" w:hAnsi="Times New Roman" w:eastAsia="宋体" w:cs="Times New Roman"/>
                <w:color w:val="auto"/>
                <w:sz w:val="21"/>
                <w:szCs w:val="21"/>
                <w:highlight w:val="none"/>
                <w:lang w:bidi="ar"/>
              </w:rPr>
              <w:t xml:space="preserve">中标人必须完成本项目采购文件及合同约定的全部工作。中标人未按期完成全部工作的，经采购人书面催告后仍拒不完成的，采购人可将未完成部分</w:t>
            </w:r>
            <w:r>
              <w:rPr>
                <w:rStyle w:val="945"/>
                <w:rFonts w:ascii="Times New Roman" w:hAnsi="Times New Roman" w:eastAsia="宋体" w:cs="Times New Roman"/>
                <w:b w:val="0"/>
                <w:bCs w:val="0"/>
                <w:color w:val="auto"/>
                <w:sz w:val="21"/>
                <w:szCs w:val="21"/>
                <w:highlight w:val="none"/>
                <w:lang w:bidi="ar"/>
              </w:rPr>
              <w:t xml:space="preserve">另行发包</w:t>
            </w:r>
            <w:r>
              <w:rPr>
                <w:rFonts w:ascii="Times New Roman" w:hAnsi="Times New Roman" w:eastAsia="宋体" w:cs="Times New Roman"/>
                <w:color w:val="auto"/>
                <w:sz w:val="21"/>
                <w:szCs w:val="21"/>
                <w:highlight w:val="none"/>
                <w:lang w:bidi="ar"/>
              </w:rPr>
              <w:t xml:space="preserve">。由此产生的所有发包费用、差价及全部损失，均由中标人承担。采购人可直接从</w:t>
            </w:r>
            <w:r>
              <w:rPr>
                <w:rFonts w:ascii="Times New Roman" w:hAnsi="Times New Roman" w:eastAsia="宋体" w:cs="Times New Roman"/>
                <w:color w:val="auto"/>
                <w:sz w:val="21"/>
                <w:szCs w:val="21"/>
                <w:highlight w:val="none"/>
                <w:lang w:val="en-US" w:eastAsia="zh-CN" w:bidi="ar"/>
              </w:rPr>
              <w:t xml:space="preserve">未付服务费中</w:t>
            </w:r>
            <w:r>
              <w:rPr>
                <w:rFonts w:ascii="Times New Roman" w:hAnsi="Times New Roman" w:eastAsia="宋体" w:cs="Times New Roman"/>
                <w:color w:val="auto"/>
                <w:sz w:val="21"/>
                <w:szCs w:val="21"/>
                <w:highlight w:val="none"/>
                <w:lang w:bidi="ar"/>
              </w:rPr>
              <w:t xml:space="preserve">抵扣，不足部分由中标人补足。</w:t>
            </w:r>
            <w:r>
              <w:rPr>
                <w:color w:val="auto"/>
                <w:highlight w:val="none"/>
              </w:rPr>
            </w:r>
            <w:r/>
          </w:p>
          <w:p>
            <w:pPr>
              <w:pStyle w:val="873"/>
              <w:jc w:val="left"/>
              <w:keepLines w:val="0"/>
              <w:keepNext w:val="0"/>
              <w:widowControl/>
              <w:rPr>
                <w:rFonts w:ascii="Times New Roman" w:hAnsi="Times New Roman" w:eastAsia="宋体" w:cs="Times New Roman"/>
                <w:color w:val="auto"/>
                <w:sz w:val="21"/>
                <w:szCs w:val="21"/>
                <w:highlight w:val="none"/>
              </w:rPr>
              <w:suppressLineNumbers w:val="0"/>
            </w:pPr>
            <w:r>
              <w:rPr>
                <w:rFonts w:ascii="Times New Roman" w:hAnsi="Times New Roman" w:eastAsia="宋体" w:cs="Times New Roman"/>
                <w:color w:val="auto"/>
                <w:sz w:val="21"/>
                <w:szCs w:val="21"/>
                <w:highlight w:val="none"/>
                <w:lang w:val="en-US" w:eastAsia="zh-CN" w:bidi="ar"/>
              </w:rPr>
              <w:t xml:space="preserve">（2）未经采购人书面批准，擅自占用、损毁养护绿地，擅自改变绿地使用性质、破坏绿地原有景观格局的；因养护巡查不力造成被其他单位或人员擅自占用、损毁养护绿地，擅自改变绿地使用性质、破坏绿地原有景观格局的，服务费按 10000 元/次进行扣除，并限期整改恢复原状； </w:t>
            </w:r>
            <w:r>
              <w:rPr>
                <w:color w:val="auto"/>
                <w:highlight w:val="none"/>
              </w:rPr>
            </w:r>
            <w:r/>
          </w:p>
          <w:p>
            <w:pPr>
              <w:pStyle w:val="873"/>
              <w:jc w:val="left"/>
              <w:keepLines w:val="0"/>
              <w:keepNext w:val="0"/>
              <w:widowControl/>
              <w:rPr>
                <w:rFonts w:ascii="Times New Roman" w:hAnsi="Times New Roman" w:eastAsia="宋体" w:cs="Times New Roman"/>
                <w:color w:val="auto"/>
                <w:sz w:val="21"/>
                <w:szCs w:val="21"/>
                <w:highlight w:val="none"/>
              </w:rPr>
              <w:suppressLineNumbers w:val="0"/>
            </w:pPr>
            <w:r>
              <w:rPr>
                <w:rFonts w:ascii="Times New Roman" w:hAnsi="Times New Roman" w:eastAsia="宋体" w:cs="Times New Roman"/>
                <w:color w:val="auto"/>
                <w:sz w:val="21"/>
                <w:szCs w:val="21"/>
                <w:highlight w:val="none"/>
                <w:lang w:val="en-US" w:eastAsia="zh-CN" w:bidi="ar"/>
              </w:rPr>
              <w:t xml:space="preserve">（3）因防汛、创建迎查、各类保障等专项任务工作不力造成社会负面影响的，服务费按1000 元/次进行扣除。</w:t>
            </w:r>
            <w:r>
              <w:rPr>
                <w:color w:val="auto"/>
                <w:highlight w:val="none"/>
              </w:rPr>
            </w:r>
            <w:r/>
          </w:p>
          <w:p>
            <w:pPr>
              <w:pStyle w:val="873"/>
              <w:jc w:val="left"/>
              <w:keepLines w:val="0"/>
              <w:keepNext w:val="0"/>
              <w:widowControl/>
              <w:rPr>
                <w:rFonts w:ascii="Times New Roman" w:hAnsi="Times New Roman" w:eastAsia="宋体" w:cs="Times New Roman"/>
                <w:color w:val="auto"/>
                <w:sz w:val="21"/>
                <w:szCs w:val="21"/>
                <w:highlight w:val="none"/>
              </w:rPr>
              <w:suppressLineNumbers w:val="0"/>
            </w:pPr>
            <w:r>
              <w:rPr>
                <w:rFonts w:ascii="Times New Roman" w:hAnsi="Times New Roman" w:eastAsia="宋体" w:cs="Times New Roman"/>
                <w:color w:val="auto"/>
                <w:sz w:val="21"/>
                <w:szCs w:val="21"/>
                <w:highlight w:val="none"/>
                <w:lang w:val="en-US" w:eastAsia="zh-CN" w:bidi="ar"/>
              </w:rPr>
              <w:t xml:space="preserve">（4）指令性任务未完成拒不改正的，服务费按 2000 元/次进行扣除。</w:t>
            </w:r>
            <w:r>
              <w:rPr>
                <w:color w:val="auto"/>
                <w:highlight w:val="none"/>
              </w:rPr>
            </w:r>
            <w:r/>
          </w:p>
          <w:p>
            <w:pPr>
              <w:pStyle w:val="873"/>
              <w:jc w:val="left"/>
              <w:keepLines w:val="0"/>
              <w:keepNext w:val="0"/>
              <w:widowControl/>
              <w:rPr>
                <w:rFonts w:ascii="Times New Roman" w:hAnsi="Times New Roman" w:eastAsia="宋体" w:cs="Times New Roman"/>
                <w:color w:val="auto"/>
                <w:sz w:val="21"/>
                <w:szCs w:val="21"/>
                <w:highlight w:val="none"/>
              </w:rPr>
              <w:suppressLineNumbers w:val="0"/>
            </w:pPr>
            <w:r>
              <w:rPr>
                <w:rFonts w:ascii="Times New Roman" w:hAnsi="Times New Roman" w:eastAsia="宋体" w:cs="Times New Roman"/>
                <w:color w:val="auto"/>
                <w:sz w:val="21"/>
                <w:szCs w:val="21"/>
                <w:highlight w:val="none"/>
                <w:lang w:val="en-US" w:eastAsia="zh-CN" w:bidi="ar"/>
              </w:rPr>
              <w:t xml:space="preserve">（5）会议、活动、培训要求与会的人员未按时到会的，采取欺瞒手段进行请假或拒不出席的，服务费按 2000 元/次进行扣除。</w:t>
            </w:r>
            <w:r>
              <w:rPr>
                <w:color w:val="auto"/>
                <w:highlight w:val="none"/>
              </w:rPr>
            </w:r>
            <w:r/>
          </w:p>
          <w:p>
            <w:pPr>
              <w:pStyle w:val="873"/>
              <w:jc w:val="left"/>
              <w:keepLines w:val="0"/>
              <w:keepNext w:val="0"/>
              <w:widowControl/>
              <w:rPr>
                <w:rFonts w:ascii="Times New Roman" w:hAnsi="Times New Roman" w:eastAsia="宋体" w:cs="Times New Roman"/>
                <w:color w:val="auto"/>
                <w:sz w:val="21"/>
                <w:szCs w:val="21"/>
                <w:highlight w:val="none"/>
              </w:rPr>
              <w:suppressLineNumbers w:val="0"/>
            </w:pPr>
            <w:r>
              <w:rPr>
                <w:rFonts w:ascii="Times New Roman" w:hAnsi="Times New Roman" w:eastAsia="宋体" w:cs="Times New Roman"/>
                <w:color w:val="auto"/>
                <w:sz w:val="21"/>
                <w:szCs w:val="21"/>
                <w:highlight w:val="none"/>
                <w:lang w:val="en-US" w:eastAsia="zh-CN" w:bidi="ar"/>
              </w:rPr>
              <w:t xml:space="preserve">（6）对园林苗木、设施和各类投诉处理问题，因养护责任被督办问责、媒体曝光或造成社会恶劣影响的，服务费按 10000元/次进行扣除。</w:t>
            </w:r>
            <w:r>
              <w:rPr>
                <w:color w:val="auto"/>
                <w:highlight w:val="none"/>
              </w:rPr>
            </w:r>
            <w:r/>
          </w:p>
          <w:p>
            <w:pPr>
              <w:pStyle w:val="873"/>
              <w:jc w:val="left"/>
              <w:keepLines w:val="0"/>
              <w:keepNext w:val="0"/>
              <w:widowControl/>
              <w:rPr>
                <w:rFonts w:ascii="Times New Roman" w:hAnsi="Times New Roman" w:eastAsia="宋体" w:cs="Times New Roman"/>
                <w:color w:val="auto"/>
                <w:sz w:val="21"/>
                <w:szCs w:val="21"/>
                <w:highlight w:val="none"/>
              </w:rPr>
              <w:suppressLineNumbers w:val="0"/>
            </w:pPr>
            <w:r>
              <w:rPr>
                <w:rFonts w:ascii="Times New Roman" w:hAnsi="Times New Roman" w:eastAsia="宋体" w:cs="Times New Roman"/>
                <w:color w:val="auto"/>
                <w:sz w:val="21"/>
                <w:szCs w:val="21"/>
                <w:highlight w:val="none"/>
                <w:lang w:val="en-US" w:eastAsia="zh-CN" w:bidi="ar"/>
              </w:rPr>
              <w:t xml:space="preserve">（7）遇到应急抢险情况发生时，中标人在接到通知后 10 分钟内响应，30 分钟内赶到现场，如一次达不到要求可扣除服务费 2000 元/次。</w:t>
            </w:r>
            <w:r>
              <w:rPr>
                <w:color w:val="auto"/>
                <w:highlight w:val="none"/>
              </w:rPr>
            </w:r>
            <w:r/>
          </w:p>
          <w:p>
            <w:pPr>
              <w:pStyle w:val="873"/>
              <w:jc w:val="left"/>
              <w:keepLines w:val="0"/>
              <w:keepNext w:val="0"/>
              <w:widowControl/>
              <w:rPr>
                <w:rFonts w:ascii="Times New Roman" w:hAnsi="Times New Roman" w:eastAsia="宋体" w:cs="Times New Roman"/>
                <w:color w:val="auto"/>
                <w:sz w:val="21"/>
                <w:szCs w:val="21"/>
                <w:highlight w:val="none"/>
              </w:rPr>
              <w:suppressLineNumbers w:val="0"/>
            </w:pPr>
            <w:r>
              <w:rPr>
                <w:rFonts w:ascii="Times New Roman" w:hAnsi="Times New Roman" w:eastAsia="宋体" w:cs="Times New Roman"/>
                <w:color w:val="auto"/>
                <w:sz w:val="21"/>
                <w:szCs w:val="21"/>
                <w:highlight w:val="none"/>
                <w:lang w:val="en-US" w:eastAsia="zh-CN" w:bidi="ar"/>
              </w:rPr>
              <w:t xml:space="preserve">（8）中标人在合同期限内收到市、区级综合考评批评，并影响到全区养护考核分值较大的，可扣除服务费 2000 元/次。</w:t>
            </w:r>
            <w:r>
              <w:rPr>
                <w:color w:val="auto"/>
                <w:highlight w:val="none"/>
              </w:rPr>
            </w:r>
            <w:r/>
          </w:p>
          <w:p>
            <w:pPr>
              <w:pStyle w:val="873"/>
              <w:jc w:val="left"/>
              <w:keepLines w:val="0"/>
              <w:keepNext w:val="0"/>
              <w:widowControl/>
              <w:rPr>
                <w:rFonts w:ascii="Times New Roman" w:hAnsi="Times New Roman" w:eastAsia="宋体" w:cs="Times New Roman"/>
                <w:color w:val="auto"/>
                <w:sz w:val="21"/>
                <w:szCs w:val="21"/>
                <w:highlight w:val="none"/>
              </w:rPr>
              <w:suppressLineNumbers w:val="0"/>
            </w:pPr>
            <w:r>
              <w:rPr>
                <w:rFonts w:ascii="Times New Roman" w:hAnsi="Times New Roman" w:eastAsia="宋体" w:cs="Times New Roman"/>
                <w:color w:val="auto"/>
                <w:sz w:val="21"/>
                <w:szCs w:val="21"/>
                <w:highlight w:val="none"/>
                <w:lang w:val="en-US" w:eastAsia="zh-CN" w:bidi="ar"/>
              </w:rPr>
              <w:t xml:space="preserve">（9）拒绝接受考核评分，拒收整改通知单，拒不执行签字签收义务的，服务费按5000 元/次进行扣除。</w:t>
            </w:r>
            <w:r>
              <w:rPr>
                <w:color w:val="auto"/>
                <w:highlight w:val="none"/>
              </w:rPr>
            </w:r>
            <w:r/>
          </w:p>
        </w:tc>
      </w:tr>
    </w:tbl>
    <w:p>
      <w:pPr>
        <w:pStyle w:val="873"/>
        <w:jc w:val="left"/>
        <w:spacing w:line="240" w:lineRule="auto"/>
        <w:widowControl/>
        <w:rPr>
          <w:rFonts w:ascii="Times New Roman" w:hAnsi="Times New Roman" w:eastAsia="宋体" w:cs="Times New Roman"/>
          <w:b w:val="0"/>
          <w:bCs w:val="0"/>
          <w:color w:val="auto"/>
          <w:spacing w:val="0"/>
          <w:sz w:val="21"/>
          <w:szCs w:val="21"/>
          <w:highlight w:val="none"/>
        </w:rPr>
      </w:pPr>
      <w:r>
        <w:rPr>
          <w:rFonts w:ascii="Times New Roman" w:hAnsi="Times New Roman" w:eastAsia="宋体" w:cs="Times New Roman"/>
          <w:b w:val="0"/>
          <w:bCs w:val="0"/>
          <w:color w:val="auto"/>
          <w:spacing w:val="0"/>
          <w:sz w:val="21"/>
          <w:szCs w:val="21"/>
          <w:highlight w:val="none"/>
          <w:lang w:bidi="ar"/>
        </w:rPr>
      </w:r>
      <w:r>
        <w:rPr>
          <w:color w:val="auto"/>
          <w:highlight w:val="none"/>
        </w:rPr>
      </w:r>
      <w:r/>
    </w:p>
    <w:p>
      <w:pPr>
        <w:pStyle w:val="873"/>
        <w:jc w:val="left"/>
        <w:spacing w:line="240" w:lineRule="auto"/>
        <w:widowControl/>
        <w:rPr>
          <w:rFonts w:ascii="Times New Roman" w:hAnsi="Times New Roman" w:eastAsia="宋体" w:cs="Times New Roman"/>
          <w:b w:val="0"/>
          <w:bCs w:val="0"/>
          <w:color w:val="auto"/>
          <w:spacing w:val="0"/>
          <w:sz w:val="21"/>
          <w:szCs w:val="21"/>
          <w:highlight w:val="none"/>
        </w:rPr>
      </w:pPr>
      <w:r>
        <w:rPr>
          <w:rFonts w:ascii="Times New Roman" w:hAnsi="Times New Roman" w:eastAsia="宋体" w:cs="Times New Roman"/>
          <w:b w:val="0"/>
          <w:bCs w:val="0"/>
          <w:color w:val="auto"/>
          <w:spacing w:val="0"/>
          <w:sz w:val="21"/>
          <w:szCs w:val="21"/>
          <w:highlight w:val="none"/>
          <w:lang w:val="en-US" w:eastAsia="zh-CN" w:bidi="ar"/>
        </w:rPr>
        <w:t xml:space="preserve">7</w:t>
      </w:r>
      <w:r>
        <w:rPr>
          <w:rFonts w:ascii="Times New Roman" w:hAnsi="Times New Roman" w:eastAsia="宋体" w:cs="Times New Roman"/>
          <w:b w:val="0"/>
          <w:bCs w:val="0"/>
          <w:color w:val="auto"/>
          <w:spacing w:val="0"/>
          <w:sz w:val="21"/>
          <w:szCs w:val="21"/>
          <w:highlight w:val="none"/>
          <w:lang w:bidi="ar"/>
        </w:rPr>
        <w:t xml:space="preserve">.考核要求</w:t>
      </w:r>
      <w:r>
        <w:rPr>
          <w:color w:val="auto"/>
          <w:highlight w:val="none"/>
        </w:rPr>
      </w:r>
      <w:r/>
    </w:p>
    <w:tbl>
      <w:tblPr>
        <w:tblW w:w="0" w:type="auto"/>
        <w:tblInd w:w="-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14"/>
      </w:tblGrid>
      <w:tr>
        <w:trPr>
          <w:trHeight w:val="980"/>
        </w:trPr>
        <w:tc>
          <w:tcPr>
            <w:tcW w:w="10114" w:type="dxa"/>
            <w:vAlign w:val="top"/>
            <w:textDirection w:val="lrTb"/>
            <w:noWrap w:val="false"/>
          </w:tcPr>
          <w:p>
            <w:pPr>
              <w:pStyle w:val="873"/>
              <w:jc w:val="left"/>
              <w:spacing w:line="240" w:lineRule="auto"/>
              <w:widowControl/>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bidi="ar"/>
              </w:rPr>
              <w:t xml:space="preserve">一、考核标准及评分细则</w:t>
            </w:r>
            <w:r>
              <w:rPr>
                <w:color w:val="auto"/>
                <w:highlight w:val="none"/>
              </w:rPr>
            </w:r>
            <w:r/>
          </w:p>
          <w:p>
            <w:pPr>
              <w:pStyle w:val="873"/>
              <w:jc w:val="left"/>
              <w:widowControl/>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bidi="ar"/>
              </w:rPr>
              <w:t xml:space="preserve">按照《</w:t>
            </w:r>
            <w:r>
              <w:rPr>
                <w:rFonts w:ascii="Times New Roman" w:hAnsi="Times New Roman" w:eastAsia="宋体" w:cs="Times New Roman"/>
                <w:color w:val="auto"/>
                <w:sz w:val="21"/>
                <w:szCs w:val="21"/>
                <w:highlight w:val="none"/>
                <w:lang w:bidi="ar"/>
              </w:rPr>
              <w:t xml:space="preserve">园林绿化养护管理考核评分细则</w:t>
            </w:r>
            <w:r>
              <w:rPr>
                <w:rFonts w:ascii="Times New Roman" w:hAnsi="Times New Roman" w:eastAsia="宋体" w:cs="Times New Roman"/>
                <w:color w:val="auto"/>
                <w:sz w:val="21"/>
                <w:szCs w:val="21"/>
                <w:highlight w:val="none"/>
                <w:lang w:bidi="ar"/>
              </w:rPr>
              <w:t xml:space="preserve">》执行。（见附件）</w:t>
            </w:r>
            <w:r>
              <w:rPr>
                <w:color w:val="auto"/>
                <w:highlight w:val="none"/>
              </w:rPr>
            </w:r>
            <w:r/>
          </w:p>
          <w:p>
            <w:pPr>
              <w:pStyle w:val="873"/>
              <w:numPr>
                <w:ilvl w:val="0"/>
                <w:numId w:val="0"/>
              </w:numPr>
              <w:jc w:val="left"/>
              <w:spacing w:line="240" w:lineRule="auto"/>
              <w:widowControl/>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bidi="ar"/>
              </w:rPr>
              <w:t xml:space="preserve">南六合经济开发区管理委员会（以下简称管委会）考核方式</w:t>
            </w:r>
            <w:r>
              <w:rPr>
                <w:color w:val="auto"/>
                <w:highlight w:val="none"/>
              </w:rPr>
            </w:r>
            <w:r/>
          </w:p>
          <w:p>
            <w:pPr>
              <w:pStyle w:val="873"/>
              <w:jc w:val="left"/>
              <w:spacing w:line="240" w:lineRule="auto"/>
              <w:widowControl/>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bidi="ar"/>
              </w:rPr>
              <w:t xml:space="preserve">（一）</w:t>
            </w:r>
            <w:r>
              <w:rPr>
                <w:rFonts w:ascii="Times New Roman" w:hAnsi="Times New Roman" w:eastAsia="宋体" w:cs="Times New Roman"/>
                <w:color w:val="auto"/>
                <w:sz w:val="21"/>
                <w:szCs w:val="21"/>
                <w:highlight w:val="none"/>
                <w:lang w:bidi="ar"/>
              </w:rPr>
              <w:t xml:space="preserve">日常考核：由</w:t>
            </w:r>
            <w:r>
              <w:rPr>
                <w:rFonts w:ascii="Times New Roman" w:hAnsi="Times New Roman" w:eastAsia="宋体" w:cs="Times New Roman"/>
                <w:color w:val="auto"/>
                <w:sz w:val="21"/>
                <w:szCs w:val="21"/>
                <w:highlight w:val="none"/>
                <w:lang w:eastAsia="zh-CN" w:bidi="ar"/>
              </w:rPr>
              <w:t xml:space="preserve">管委会下属菁开市政公司</w:t>
            </w:r>
            <w:r>
              <w:rPr>
                <w:rFonts w:ascii="Times New Roman" w:hAnsi="Times New Roman" w:eastAsia="宋体" w:cs="Times New Roman"/>
                <w:color w:val="auto"/>
                <w:sz w:val="21"/>
                <w:szCs w:val="21"/>
                <w:highlight w:val="none"/>
                <w:lang w:bidi="ar"/>
              </w:rPr>
              <w:t xml:space="preserve">和第三方考核单位对所辖园林绿化设施养护管理情况进行日常（每周至少一次）随机考核检查。具体详见《</w:t>
            </w:r>
            <w:r>
              <w:rPr>
                <w:rFonts w:ascii="Times New Roman" w:hAnsi="Times New Roman" w:eastAsia="宋体" w:cs="Times New Roman"/>
                <w:color w:val="auto"/>
                <w:sz w:val="21"/>
                <w:szCs w:val="21"/>
                <w:highlight w:val="none"/>
                <w:lang w:bidi="ar"/>
              </w:rPr>
              <w:t xml:space="preserve">园林绿化养护管理考核评分细则</w:t>
            </w:r>
            <w:r>
              <w:rPr>
                <w:rFonts w:ascii="Times New Roman" w:hAnsi="Times New Roman" w:eastAsia="宋体" w:cs="Times New Roman"/>
                <w:color w:val="auto"/>
                <w:sz w:val="21"/>
                <w:szCs w:val="21"/>
                <w:highlight w:val="none"/>
                <w:lang w:bidi="ar"/>
              </w:rPr>
              <w:t xml:space="preserve">》。</w:t>
            </w:r>
            <w:r>
              <w:rPr>
                <w:color w:val="auto"/>
                <w:highlight w:val="none"/>
              </w:rPr>
            </w:r>
            <w:r/>
          </w:p>
          <w:p>
            <w:pPr>
              <w:pStyle w:val="873"/>
              <w:jc w:val="left"/>
              <w:spacing w:line="240" w:lineRule="auto"/>
              <w:widowControl/>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bidi="ar"/>
              </w:rPr>
              <w:t xml:space="preserve">（二）月度考核：</w:t>
            </w:r>
            <w:r>
              <w:rPr>
                <w:rFonts w:ascii="Times New Roman" w:hAnsi="Times New Roman" w:eastAsia="宋体" w:cs="Times New Roman"/>
                <w:color w:val="auto"/>
                <w:sz w:val="21"/>
                <w:szCs w:val="21"/>
                <w:highlight w:val="none"/>
                <w:lang w:eastAsia="zh-CN" w:bidi="ar"/>
              </w:rPr>
              <w:t xml:space="preserve">管委会下属菁开市政公司</w:t>
            </w:r>
            <w:r>
              <w:rPr>
                <w:rFonts w:ascii="Times New Roman" w:hAnsi="Times New Roman" w:eastAsia="宋体" w:cs="Times New Roman"/>
                <w:color w:val="auto"/>
                <w:sz w:val="21"/>
                <w:szCs w:val="21"/>
                <w:highlight w:val="none"/>
                <w:lang w:bidi="ar"/>
              </w:rPr>
              <w:t xml:space="preserve">和第三方考核单位对所辖园林绿化设施养护管理情况每月随机进行一次养护综合性考核检查。具体详见《</w:t>
            </w:r>
            <w:r>
              <w:rPr>
                <w:rFonts w:ascii="Times New Roman" w:hAnsi="Times New Roman" w:eastAsia="宋体" w:cs="Times New Roman"/>
                <w:color w:val="auto"/>
                <w:sz w:val="21"/>
                <w:szCs w:val="21"/>
                <w:highlight w:val="none"/>
                <w:lang w:bidi="ar"/>
              </w:rPr>
              <w:t xml:space="preserve">园林绿化养护管理考核评分细则</w:t>
            </w:r>
            <w:r>
              <w:rPr>
                <w:rFonts w:ascii="Times New Roman" w:hAnsi="Times New Roman" w:eastAsia="宋体" w:cs="Times New Roman"/>
                <w:color w:val="auto"/>
                <w:sz w:val="21"/>
                <w:szCs w:val="21"/>
                <w:highlight w:val="none"/>
                <w:lang w:bidi="ar"/>
              </w:rPr>
              <w:t xml:space="preserve">》。</w:t>
            </w:r>
            <w:r>
              <w:rPr>
                <w:color w:val="auto"/>
                <w:highlight w:val="none"/>
              </w:rPr>
            </w:r>
            <w:r/>
          </w:p>
          <w:p>
            <w:pPr>
              <w:pStyle w:val="873"/>
              <w:jc w:val="left"/>
              <w:spacing w:line="240" w:lineRule="auto"/>
              <w:widowControl/>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bidi="ar"/>
              </w:rPr>
              <w:t xml:space="preserve">（三）专项考核：由上级主管部门对经开区开展的园林绿化养护质量专项考核。具体详见《</w:t>
            </w:r>
            <w:r>
              <w:rPr>
                <w:rFonts w:ascii="Times New Roman" w:hAnsi="Times New Roman" w:eastAsia="宋体" w:cs="Times New Roman"/>
                <w:color w:val="auto"/>
                <w:sz w:val="21"/>
                <w:szCs w:val="21"/>
                <w:highlight w:val="none"/>
                <w:lang w:bidi="ar"/>
              </w:rPr>
              <w:t xml:space="preserve">园林绿化养护管理考核评分细则</w:t>
            </w:r>
            <w:r>
              <w:rPr>
                <w:rFonts w:ascii="Times New Roman" w:hAnsi="Times New Roman" w:eastAsia="宋体" w:cs="Times New Roman"/>
                <w:color w:val="auto"/>
                <w:sz w:val="21"/>
                <w:szCs w:val="21"/>
                <w:highlight w:val="none"/>
                <w:lang w:bidi="ar"/>
              </w:rPr>
              <w:t xml:space="preserve">》。</w:t>
            </w:r>
            <w:r>
              <w:rPr>
                <w:color w:val="auto"/>
                <w:highlight w:val="none"/>
              </w:rPr>
            </w:r>
            <w:r/>
          </w:p>
          <w:p>
            <w:pPr>
              <w:pStyle w:val="873"/>
              <w:jc w:val="left"/>
              <w:spacing w:line="240" w:lineRule="auto"/>
              <w:widowControl/>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bidi="ar"/>
              </w:rPr>
              <w:t xml:space="preserve">（四）社会监督：根据社会对园区园林绿化设施养护管理情</w:t>
            </w:r>
            <w:r>
              <w:rPr>
                <w:rFonts w:ascii="Times New Roman" w:hAnsi="Times New Roman" w:eastAsia="宋体" w:cs="Times New Roman"/>
                <w:color w:val="auto"/>
                <w:sz w:val="21"/>
                <w:szCs w:val="21"/>
                <w:highlight w:val="none"/>
                <w:lang w:bidi="ar"/>
              </w:rPr>
              <w:t xml:space="preserve">况的反馈信息及媒体曝光、市民投诉问题的核查、整改情况纳入当月对养护单位的检查考核。具体详见《</w:t>
            </w:r>
            <w:r>
              <w:rPr>
                <w:rFonts w:ascii="Times New Roman" w:hAnsi="Times New Roman" w:eastAsia="宋体" w:cs="Times New Roman"/>
                <w:color w:val="auto"/>
                <w:sz w:val="21"/>
                <w:szCs w:val="21"/>
                <w:highlight w:val="none"/>
                <w:lang w:bidi="ar"/>
              </w:rPr>
              <w:t xml:space="preserve">园林绿化养护管理考核评分细则</w:t>
            </w:r>
            <w:r>
              <w:rPr>
                <w:rFonts w:ascii="Times New Roman" w:hAnsi="Times New Roman" w:eastAsia="宋体" w:cs="Times New Roman"/>
                <w:color w:val="auto"/>
                <w:sz w:val="21"/>
                <w:szCs w:val="21"/>
                <w:highlight w:val="none"/>
                <w:lang w:bidi="ar"/>
              </w:rPr>
              <w:t xml:space="preserve">》。</w:t>
            </w:r>
            <w:r>
              <w:rPr>
                <w:color w:val="auto"/>
                <w:highlight w:val="none"/>
              </w:rPr>
            </w:r>
            <w:r/>
          </w:p>
          <w:p>
            <w:pPr>
              <w:pStyle w:val="873"/>
              <w:jc w:val="left"/>
              <w:spacing w:line="240" w:lineRule="auto"/>
              <w:widowControl/>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bidi="ar"/>
              </w:rPr>
              <w:t xml:space="preserve">（五）指令性考核：根据市、区要求或年度工作安排，结合重点工作督查、重大活动保障、创建活动迎查及园林绿化行业的工作特点，经开区下发的指令性养护工作任务，对养护单位完成情况进行考核。具体详见《</w:t>
            </w:r>
            <w:r>
              <w:rPr>
                <w:rFonts w:ascii="Times New Roman" w:hAnsi="Times New Roman" w:eastAsia="宋体" w:cs="Times New Roman"/>
                <w:color w:val="auto"/>
                <w:sz w:val="21"/>
                <w:szCs w:val="21"/>
                <w:highlight w:val="none"/>
                <w:lang w:bidi="ar"/>
              </w:rPr>
              <w:t xml:space="preserve">园林绿化养护管理考核评分细则</w:t>
            </w:r>
            <w:r>
              <w:rPr>
                <w:rFonts w:ascii="Times New Roman" w:hAnsi="Times New Roman" w:eastAsia="宋体" w:cs="Times New Roman"/>
                <w:color w:val="auto"/>
                <w:sz w:val="21"/>
                <w:szCs w:val="21"/>
                <w:highlight w:val="none"/>
                <w:lang w:bidi="ar"/>
              </w:rPr>
              <w:t xml:space="preserve">》。</w:t>
            </w:r>
            <w:r>
              <w:rPr>
                <w:color w:val="auto"/>
                <w:highlight w:val="none"/>
              </w:rPr>
            </w:r>
            <w:r/>
          </w:p>
          <w:p>
            <w:pPr>
              <w:pStyle w:val="873"/>
              <w:jc w:val="left"/>
              <w:spacing w:line="240" w:lineRule="auto"/>
              <w:widowControl/>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bidi="ar"/>
              </w:rPr>
              <w:t xml:space="preserve">（六）考核加分：</w:t>
            </w:r>
            <w:r>
              <w:rPr>
                <w:rFonts w:ascii="Times New Roman" w:hAnsi="Times New Roman" w:eastAsia="宋体" w:cs="Times New Roman"/>
                <w:color w:val="auto"/>
                <w:sz w:val="21"/>
                <w:szCs w:val="21"/>
                <w:highlight w:val="none"/>
                <w:lang w:bidi="ar"/>
              </w:rPr>
              <w:t xml:space="preserve">具体详见《</w:t>
            </w:r>
            <w:r>
              <w:rPr>
                <w:rFonts w:ascii="Times New Roman" w:hAnsi="Times New Roman" w:eastAsia="宋体" w:cs="Times New Roman"/>
                <w:color w:val="auto"/>
                <w:sz w:val="21"/>
                <w:szCs w:val="21"/>
                <w:highlight w:val="none"/>
                <w:lang w:bidi="ar"/>
              </w:rPr>
              <w:t xml:space="preserve">园林绿化养护管理考核评分细则</w:t>
            </w:r>
            <w:r>
              <w:rPr>
                <w:rFonts w:ascii="Times New Roman" w:hAnsi="Times New Roman" w:eastAsia="宋体" w:cs="Times New Roman"/>
                <w:color w:val="auto"/>
                <w:sz w:val="21"/>
                <w:szCs w:val="21"/>
                <w:highlight w:val="none"/>
                <w:lang w:bidi="ar"/>
              </w:rPr>
              <w:t xml:space="preserve">》。</w:t>
            </w:r>
            <w:r>
              <w:rPr>
                <w:color w:val="auto"/>
                <w:highlight w:val="none"/>
              </w:rPr>
            </w:r>
            <w:r/>
          </w:p>
          <w:p>
            <w:pPr>
              <w:pStyle w:val="873"/>
              <w:jc w:val="left"/>
              <w:spacing w:line="240" w:lineRule="auto"/>
              <w:widowControl/>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bidi="ar"/>
              </w:rPr>
              <w:t xml:space="preserve">（七）考核评分分值计算 </w:t>
            </w:r>
            <w:r>
              <w:rPr>
                <w:color w:val="auto"/>
                <w:highlight w:val="none"/>
              </w:rPr>
            </w:r>
            <w:r/>
          </w:p>
          <w:p>
            <w:pPr>
              <w:pStyle w:val="873"/>
              <w:jc w:val="left"/>
              <w:spacing w:line="240" w:lineRule="auto"/>
              <w:widowControl/>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bidi="ar"/>
              </w:rPr>
              <w:t xml:space="preserve">通过日常检查、月度检查、专项检查、社会监督、指令性任务</w:t>
            </w:r>
            <w:r>
              <w:rPr>
                <w:rFonts w:ascii="Times New Roman" w:hAnsi="Times New Roman" w:eastAsia="宋体" w:cs="Times New Roman"/>
                <w:color w:val="auto"/>
                <w:sz w:val="21"/>
                <w:szCs w:val="21"/>
                <w:highlight w:val="none"/>
                <w:lang w:bidi="ar"/>
              </w:rPr>
              <w:t xml:space="preserve">检查的方式进行考核工作。采取扣分和加分相结合的方式，考核成绩采用百分制。每月份出具考核成绩，</w:t>
            </w:r>
            <w:r>
              <w:rPr>
                <w:rFonts w:ascii="Times New Roman" w:hAnsi="Times New Roman" w:eastAsia="宋体" w:cs="Times New Roman"/>
                <w:color w:val="auto"/>
                <w:spacing w:val="0"/>
                <w:sz w:val="21"/>
                <w:szCs w:val="21"/>
                <w:highlight w:val="none"/>
                <w:lang w:val="en-US" w:eastAsia="zh-CN" w:bidi="ar"/>
              </w:rPr>
              <w:t xml:space="preserve">月度考核分数=100-月累计扣减分+月累计加分，</w:t>
            </w:r>
            <w:r>
              <w:rPr>
                <w:rFonts w:ascii="Times New Roman" w:hAnsi="Times New Roman" w:eastAsia="宋体" w:cs="Times New Roman"/>
                <w:color w:val="auto"/>
                <w:spacing w:val="0"/>
                <w:sz w:val="21"/>
                <w:szCs w:val="21"/>
                <w:highlight w:val="none"/>
                <w:lang w:eastAsia="zh-CN" w:bidi="ar"/>
              </w:rPr>
              <w:t xml:space="preserve">养护期满总考核成绩</w:t>
            </w:r>
            <w:r>
              <w:rPr>
                <w:rFonts w:ascii="Times New Roman" w:hAnsi="Times New Roman" w:eastAsia="宋体" w:cs="Times New Roman"/>
                <w:color w:val="auto"/>
                <w:spacing w:val="0"/>
                <w:sz w:val="21"/>
                <w:szCs w:val="21"/>
                <w:highlight w:val="none"/>
                <w:lang w:val="en-US" w:eastAsia="zh-CN" w:bidi="ar"/>
              </w:rPr>
              <w:t xml:space="preserve">=</w:t>
            </w:r>
            <w:r>
              <w:rPr>
                <w:rFonts w:ascii="Times New Roman" w:hAnsi="Times New Roman" w:eastAsia="宋体" w:cs="Times New Roman"/>
                <w:color w:val="auto"/>
                <w:spacing w:val="0"/>
                <w:sz w:val="21"/>
                <w:szCs w:val="21"/>
                <w:highlight w:val="none"/>
                <w:lang w:eastAsia="zh-CN" w:bidi="ar"/>
              </w:rPr>
              <w:t xml:space="preserve">各月度考核成绩的算术平均值</w:t>
            </w:r>
            <w:r>
              <w:rPr>
                <w:rFonts w:ascii="Times New Roman" w:hAnsi="Times New Roman" w:eastAsia="宋体" w:cs="Times New Roman"/>
                <w:color w:val="auto"/>
                <w:spacing w:val="0"/>
                <w:sz w:val="21"/>
                <w:szCs w:val="21"/>
                <w:highlight w:val="none"/>
                <w:lang w:val="en-US" w:eastAsia="zh-CN" w:bidi="ar"/>
              </w:rPr>
              <w:t xml:space="preserve">×70%+后评价总分×30%</w:t>
            </w:r>
            <w:r>
              <w:rPr>
                <w:rFonts w:ascii="Times New Roman" w:hAnsi="Times New Roman" w:eastAsia="宋体" w:cs="Times New Roman"/>
                <w:color w:val="auto"/>
                <w:spacing w:val="0"/>
                <w:sz w:val="21"/>
                <w:szCs w:val="21"/>
                <w:highlight w:val="none"/>
                <w:lang w:eastAsia="zh-CN" w:bidi="ar"/>
              </w:rPr>
              <w:t xml:space="preserve">。</w:t>
            </w:r>
            <w:r>
              <w:rPr>
                <w:rFonts w:ascii="Times New Roman" w:hAnsi="Times New Roman" w:eastAsia="宋体" w:cs="Times New Roman"/>
                <w:color w:val="auto"/>
                <w:sz w:val="21"/>
                <w:szCs w:val="21"/>
                <w:highlight w:val="none"/>
                <w:lang w:bidi="ar"/>
              </w:rPr>
              <w:t xml:space="preserve">具体详见《</w:t>
            </w:r>
            <w:r>
              <w:rPr>
                <w:rFonts w:ascii="Times New Roman" w:hAnsi="Times New Roman" w:eastAsia="宋体" w:cs="Times New Roman"/>
                <w:color w:val="auto"/>
                <w:sz w:val="21"/>
                <w:szCs w:val="21"/>
                <w:highlight w:val="none"/>
                <w:lang w:bidi="ar"/>
              </w:rPr>
              <w:t xml:space="preserve">园林绿化养护管理考核评分细则</w:t>
            </w:r>
            <w:r>
              <w:rPr>
                <w:rFonts w:ascii="Times New Roman" w:hAnsi="Times New Roman" w:eastAsia="宋体" w:cs="Times New Roman"/>
                <w:color w:val="auto"/>
                <w:sz w:val="21"/>
                <w:szCs w:val="21"/>
                <w:highlight w:val="none"/>
                <w:lang w:bidi="ar"/>
              </w:rPr>
              <w:t xml:space="preserve">》。</w:t>
            </w:r>
            <w:r>
              <w:rPr>
                <w:color w:val="auto"/>
                <w:highlight w:val="none"/>
              </w:rPr>
            </w:r>
            <w:r/>
          </w:p>
          <w:p>
            <w:pPr>
              <w:pStyle w:val="873"/>
              <w:jc w:val="left"/>
              <w:spacing w:line="240" w:lineRule="auto"/>
              <w:widowControl/>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bidi="ar"/>
              </w:rPr>
              <w:t xml:space="preserve">（八）</w:t>
            </w:r>
            <w:r>
              <w:rPr>
                <w:rFonts w:ascii="Times New Roman" w:hAnsi="Times New Roman" w:eastAsia="宋体" w:cs="Times New Roman"/>
                <w:color w:val="auto"/>
                <w:sz w:val="21"/>
                <w:szCs w:val="21"/>
                <w:highlight w:val="none"/>
                <w:lang w:bidi="ar"/>
              </w:rPr>
              <w:t xml:space="preserve">每月应将园林绿</w:t>
            </w:r>
            <w:r>
              <w:rPr>
                <w:rFonts w:ascii="Times New Roman" w:hAnsi="Times New Roman" w:eastAsia="宋体" w:cs="Times New Roman"/>
                <w:color w:val="auto"/>
                <w:sz w:val="21"/>
                <w:szCs w:val="21"/>
                <w:highlight w:val="none"/>
                <w:lang w:bidi="ar"/>
              </w:rPr>
              <w:t xml:space="preserve">化养护质量检查考核情况及评分结果（含考核加分）通报给养护单位，并在养护期满时出具养护质量考核评分结果汇总单。</w:t>
            </w:r>
            <w:r>
              <w:rPr>
                <w:color w:val="auto"/>
                <w:highlight w:val="none"/>
              </w:rPr>
            </w:r>
            <w:r/>
          </w:p>
          <w:p>
            <w:pPr>
              <w:pStyle w:val="873"/>
              <w:jc w:val="left"/>
              <w:spacing w:line="240" w:lineRule="auto"/>
              <w:widowControl/>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bidi="ar"/>
              </w:rPr>
              <w:t xml:space="preserve">（九）所有考核评分结果由第三方考核单位汇总，采购人签字盖章确认为准。</w:t>
            </w:r>
            <w:r>
              <w:rPr>
                <w:color w:val="auto"/>
                <w:highlight w:val="none"/>
              </w:rPr>
            </w:r>
            <w:r/>
          </w:p>
          <w:p>
            <w:pPr>
              <w:pStyle w:val="873"/>
              <w:jc w:val="left"/>
              <w:spacing w:line="240" w:lineRule="auto"/>
              <w:widowControl/>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bidi="ar"/>
              </w:rPr>
              <w:t xml:space="preserve">三、服务标准和要求：</w:t>
            </w:r>
            <w:r>
              <w:rPr>
                <w:color w:val="auto"/>
                <w:highlight w:val="none"/>
              </w:rPr>
            </w:r>
            <w:r/>
          </w:p>
          <w:p>
            <w:pPr>
              <w:pStyle w:val="873"/>
              <w:jc w:val="left"/>
              <w:spacing w:line="240" w:lineRule="auto"/>
              <w:widowControl/>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bidi="ar"/>
              </w:rPr>
              <w:t xml:space="preserve">日常养护作业按照《城市治理单元治理通则》（DB3201/T296-2019）、《南京市城市绿化养护技术规程》《南京市行道树养护技术规程》以及国家、省各类创建中有关园林绿化的要求和市委市政府、区委区政府下达的各项目标任务等要求，并达到《江苏省城市园林绿化养护管理规范及分级标准》《</w:t>
            </w:r>
            <w:r>
              <w:rPr>
                <w:rFonts w:ascii="Times New Roman" w:hAnsi="Times New Roman" w:eastAsia="宋体" w:cs="Times New Roman"/>
                <w:color w:val="auto"/>
                <w:sz w:val="21"/>
                <w:szCs w:val="21"/>
                <w:highlight w:val="none"/>
                <w:lang w:bidi="ar"/>
              </w:rPr>
              <w:t xml:space="preserve">园林绿化养护管理考核评分细则</w:t>
            </w:r>
            <w:r>
              <w:rPr>
                <w:rFonts w:ascii="Times New Roman" w:hAnsi="Times New Roman" w:eastAsia="宋体" w:cs="Times New Roman"/>
                <w:color w:val="auto"/>
                <w:sz w:val="21"/>
                <w:szCs w:val="21"/>
                <w:highlight w:val="none"/>
                <w:lang w:bidi="ar"/>
              </w:rPr>
              <w:t xml:space="preserve">》及采购招标文件约定要求。</w:t>
            </w:r>
            <w:r>
              <w:rPr>
                <w:color w:val="auto"/>
                <w:highlight w:val="none"/>
              </w:rPr>
            </w:r>
            <w:r/>
          </w:p>
          <w:p>
            <w:pPr>
              <w:pStyle w:val="873"/>
              <w:jc w:val="left"/>
              <w:spacing w:line="240" w:lineRule="auto"/>
              <w:widowControl/>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bidi="ar"/>
              </w:rPr>
              <w:t xml:space="preserve">四、采购文件与</w:t>
            </w:r>
            <w:r>
              <w:rPr>
                <w:rFonts w:hint="eastAsia" w:ascii="宋体" w:hAnsi="宋体" w:eastAsia="宋体" w:cs="宋体"/>
                <w:color w:val="auto"/>
                <w:sz w:val="24"/>
                <w:szCs w:val="24"/>
                <w:highlight w:val="none"/>
                <w:lang w:bidi="ar"/>
              </w:rPr>
              <w:t xml:space="preserve">园林绿化养护管理考核评分细则</w:t>
            </w:r>
            <w:r>
              <w:rPr>
                <w:rFonts w:hint="eastAsia" w:ascii="Times New Roman" w:hAnsi="Times New Roman" w:eastAsia="宋体" w:cs="Times New Roman"/>
                <w:color w:val="auto"/>
                <w:sz w:val="21"/>
                <w:szCs w:val="21"/>
                <w:highlight w:val="none"/>
                <w:lang w:eastAsia="zh-CN" w:bidi="ar"/>
              </w:rPr>
              <w:t xml:space="preserve">不一致的以采购文件为准。</w:t>
            </w:r>
            <w:r>
              <w:rPr>
                <w:color w:val="auto"/>
                <w:highlight w:val="none"/>
              </w:rPr>
            </w:r>
            <w:r/>
          </w:p>
        </w:tc>
      </w:tr>
    </w:tbl>
    <w:p>
      <w:pPr>
        <w:pStyle w:val="873"/>
        <w:ind w:firstLine="480"/>
        <w:spacing w:line="252" w:lineRule="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r>
      <w:r>
        <w:rPr>
          <w:color w:val="auto"/>
          <w:highlight w:val="none"/>
        </w:rPr>
      </w:r>
      <w:r/>
    </w:p>
    <w:p>
      <w:pPr>
        <w:pStyle w:val="873"/>
        <w:ind w:firstLine="480"/>
        <w:spacing w:line="252" w:lineRule="auto"/>
        <w:rPr>
          <w:rFonts w:hint="eastAsia" w:ascii="宋体" w:hAnsi="宋体" w:cs="宋体"/>
          <w:bCs/>
          <w:color w:val="auto"/>
          <w:sz w:val="24"/>
          <w:szCs w:val="24"/>
          <w:highlight w:val="none"/>
        </w:rPr>
        <w:outlineLvl w:val="2"/>
      </w:pPr>
      <w:r>
        <w:rPr>
          <w:rFonts w:hint="eastAsia" w:ascii="黑体" w:hAnsi="黑体" w:eastAsia="黑体" w:cs="黑体"/>
          <w:color w:val="auto"/>
          <w:sz w:val="24"/>
          <w:szCs w:val="24"/>
          <w:highlight w:val="none"/>
        </w:rPr>
        <w:t xml:space="preserve">★</w:t>
      </w:r>
      <w:r>
        <w:rPr>
          <w:rFonts w:hint="eastAsia" w:ascii="宋体" w:hAnsi="宋体" w:cs="宋体"/>
          <w:bCs/>
          <w:color w:val="auto"/>
          <w:sz w:val="24"/>
          <w:szCs w:val="24"/>
          <w:highlight w:val="none"/>
        </w:rPr>
        <w:t xml:space="preserve">（二）商务要求</w:t>
      </w:r>
      <w:r>
        <w:rPr>
          <w:color w:val="auto"/>
          <w:highlight w:val="none"/>
        </w:rPr>
      </w:r>
      <w:r/>
    </w:p>
    <w:p>
      <w:pPr>
        <w:pStyle w:val="873"/>
        <w:ind w:firstLine="480"/>
        <w:spacing w:line="252" w:lineRule="auto"/>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报价要求</w:t>
      </w:r>
      <w:r>
        <w:rPr>
          <w:color w:val="auto"/>
          <w:highlight w:val="none"/>
        </w:rPr>
      </w:r>
      <w:r/>
    </w:p>
    <w:p>
      <w:pPr>
        <w:pStyle w:val="873"/>
        <w:ind w:firstLine="480"/>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rPr>
          <w:color w:val="auto"/>
          <w:highlight w:val="none"/>
        </w:rPr>
      </w:r>
      <w:r/>
    </w:p>
    <w:p>
      <w:pPr>
        <w:pStyle w:val="873"/>
        <w:ind w:firstLine="480"/>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（2）供应商的任何错漏、优惠、竞争性报价不得作为减轻责任、减少服务、增加收费、降低服务质量的理由。</w:t>
      </w:r>
      <w:r>
        <w:rPr>
          <w:color w:val="auto"/>
          <w:highlight w:val="none"/>
        </w:rPr>
      </w:r>
      <w:r/>
    </w:p>
    <w:p>
      <w:pPr>
        <w:pStyle w:val="873"/>
        <w:ind w:firstLine="480"/>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（3）供应商报价除包含招标文件中列明的项目外，还应包括保障服务正常运行应当具有的物资和服务，对服务正常运行应当具有的物资和服务理解不一致的以采购单位理解为准。</w:t>
      </w:r>
      <w:r>
        <w:rPr>
          <w:color w:val="auto"/>
          <w:highlight w:val="none"/>
        </w:rPr>
      </w:r>
      <w:r/>
    </w:p>
    <w:p>
      <w:pPr>
        <w:pStyle w:val="873"/>
        <w:ind w:firstLine="482"/>
        <w:spacing w:line="252"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r>
      <w:r>
        <w:rPr>
          <w:color w:val="auto"/>
          <w:highlight w:val="none"/>
        </w:rPr>
      </w:r>
      <w:r/>
    </w:p>
    <w:p>
      <w:pPr>
        <w:pStyle w:val="873"/>
        <w:ind w:firstLine="480"/>
        <w:spacing w:line="252"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w:t>
      </w:r>
      <w:r>
        <w:rPr>
          <w:rFonts w:ascii="宋体" w:hAnsi="宋体" w:cs="宋体"/>
          <w:bCs/>
          <w:color w:val="auto"/>
          <w:sz w:val="24"/>
          <w:szCs w:val="24"/>
          <w:highlight w:val="none"/>
        </w:rPr>
        <w:t xml:space="preserve">付款条件</w:t>
      </w:r>
      <w:r>
        <w:rPr>
          <w:color w:val="auto"/>
          <w:highlight w:val="none"/>
        </w:rPr>
      </w:r>
      <w:r/>
    </w:p>
    <w:p>
      <w:pPr>
        <w:pStyle w:val="873"/>
        <w:ind w:firstLine="480"/>
        <w:spacing w:line="252" w:lineRule="auto"/>
        <w:rPr>
          <w:rFonts w:ascii="宋体" w:hAnsi="宋体" w:cs="宋体"/>
          <w:color w:val="auto"/>
          <w:sz w:val="24"/>
          <w:szCs w:val="24"/>
          <w:highlight w:val="none"/>
        </w:rPr>
      </w:pPr>
      <w:r>
        <w:rPr>
          <w:rFonts w:ascii="宋体" w:hAnsi="宋体" w:cs="宋体"/>
          <w:color w:val="auto"/>
          <w:sz w:val="24"/>
          <w:szCs w:val="24"/>
          <w:highlight w:val="none"/>
        </w:rPr>
        <w:t xml:space="preserve">以第三章合同文本</w:t>
      </w:r>
      <w:r>
        <w:rPr>
          <w:rFonts w:hint="eastAsia" w:ascii="宋体" w:hAnsi="宋体" w:cs="宋体"/>
          <w:color w:val="auto"/>
          <w:sz w:val="24"/>
          <w:szCs w:val="24"/>
          <w:highlight w:val="none"/>
        </w:rPr>
        <w:t xml:space="preserve">内容</w:t>
      </w:r>
      <w:r>
        <w:rPr>
          <w:rFonts w:ascii="宋体" w:hAnsi="宋体" w:cs="宋体"/>
          <w:color w:val="auto"/>
          <w:sz w:val="24"/>
          <w:szCs w:val="24"/>
          <w:highlight w:val="none"/>
        </w:rPr>
        <w:t xml:space="preserve">为准。</w:t>
      </w:r>
      <w:r>
        <w:rPr>
          <w:color w:val="auto"/>
          <w:highlight w:val="none"/>
        </w:rPr>
      </w:r>
      <w:r/>
    </w:p>
    <w:p>
      <w:pPr>
        <w:pStyle w:val="873"/>
        <w:ind w:firstLine="480"/>
        <w:spacing w:line="252" w:lineRule="auto"/>
        <w:rPr>
          <w:rFonts w:hint="eastAsia" w:ascii="宋体" w:hAnsi="宋体" w:cs="宋体"/>
          <w:bCs/>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交付时间及地点</w:t>
      </w:r>
      <w:r>
        <w:rPr>
          <w:rFonts w:hint="eastAsia" w:ascii="宋体" w:hAnsi="宋体" w:cs="宋体"/>
          <w:color w:val="auto"/>
          <w:sz w:val="24"/>
          <w:szCs w:val="24"/>
          <w:highlight w:val="none"/>
          <w:lang w:eastAsia="zh-CN"/>
        </w:rPr>
        <w:t xml:space="preserve">：</w:t>
      </w:r>
      <w:r>
        <w:rPr>
          <w:rFonts w:ascii="宋体" w:hAnsi="宋体" w:cs="宋体"/>
          <w:bCs/>
          <w:color w:val="auto"/>
          <w:sz w:val="24"/>
          <w:szCs w:val="24"/>
          <w:highlight w:val="none"/>
        </w:rPr>
        <w:t xml:space="preserve">采购人指定地点</w:t>
      </w:r>
      <w:r>
        <w:rPr>
          <w:rFonts w:hint="eastAsia" w:ascii="宋体" w:hAnsi="宋体" w:cs="宋体"/>
          <w:bCs/>
          <w:color w:val="auto"/>
          <w:sz w:val="24"/>
          <w:szCs w:val="24"/>
          <w:highlight w:val="none"/>
        </w:rPr>
        <w:t xml:space="preserve">。</w:t>
      </w:r>
      <w:r>
        <w:rPr>
          <w:color w:val="auto"/>
          <w:highlight w:val="none"/>
        </w:rPr>
      </w:r>
      <w:r/>
    </w:p>
    <w:p>
      <w:pPr>
        <w:pStyle w:val="873"/>
        <w:ind w:firstLine="480"/>
        <w:spacing w:line="252"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rPr>
        <w:t xml:space="preserve">.履约保证金</w:t>
      </w:r>
      <w:r>
        <w:rPr>
          <w:color w:val="auto"/>
          <w:highlight w:val="none"/>
        </w:rPr>
      </w:r>
      <w:r/>
    </w:p>
    <w:p>
      <w:pPr>
        <w:pStyle w:val="873"/>
        <w:ind w:firstLine="480"/>
        <w:spacing w:line="252" w:lineRule="auto"/>
        <w:rPr>
          <w:rFonts w:ascii="宋体" w:hAnsi="宋体" w:cs="宋体"/>
          <w:bCs/>
          <w:color w:val="auto"/>
          <w:sz w:val="24"/>
          <w:szCs w:val="24"/>
          <w:highlight w:val="none"/>
        </w:rPr>
      </w:pPr>
      <w:r>
        <w:rPr>
          <w:rFonts w:ascii="宋体" w:hAnsi="宋体" w:cs="宋体"/>
          <w:bCs/>
          <w:color w:val="auto"/>
          <w:sz w:val="24"/>
          <w:szCs w:val="24"/>
          <w:highlight w:val="none"/>
        </w:rPr>
        <w:t xml:space="preserve">以第三章合同文本</w:t>
      </w:r>
      <w:r>
        <w:rPr>
          <w:rFonts w:hint="eastAsia" w:ascii="宋体" w:hAnsi="宋体" w:cs="宋体"/>
          <w:bCs/>
          <w:color w:val="auto"/>
          <w:sz w:val="24"/>
          <w:szCs w:val="24"/>
          <w:highlight w:val="none"/>
        </w:rPr>
        <w:t xml:space="preserve">内容</w:t>
      </w:r>
      <w:r>
        <w:rPr>
          <w:rFonts w:ascii="宋体" w:hAnsi="宋体" w:cs="宋体"/>
          <w:bCs/>
          <w:color w:val="auto"/>
          <w:sz w:val="24"/>
          <w:szCs w:val="24"/>
          <w:highlight w:val="none"/>
        </w:rPr>
        <w:t xml:space="preserve">为准。</w:t>
      </w:r>
      <w:r>
        <w:rPr>
          <w:color w:val="auto"/>
          <w:highlight w:val="none"/>
        </w:rPr>
      </w:r>
      <w:r/>
    </w:p>
    <w:p>
      <w:pPr>
        <w:pStyle w:val="873"/>
        <w:ind w:firstLine="480"/>
        <w:spacing w:line="252" w:lineRule="auto"/>
        <w:rPr>
          <w:rFonts w:hint="eastAsia" w:ascii="宋体" w:hAnsi="宋体" w:cs="宋体"/>
          <w:bCs/>
          <w:color w:val="auto"/>
          <w:sz w:val="24"/>
          <w:szCs w:val="24"/>
          <w:highlight w:val="none"/>
        </w:rPr>
      </w:pPr>
      <w:r>
        <w:rPr>
          <w:color w:val="auto"/>
          <w:highlight w:val="none"/>
        </w:rPr>
      </w:r>
      <w:bookmarkStart w:id="195" w:name="OLE_LINK1"/>
      <w:r>
        <w:rPr>
          <w:rFonts w:hint="eastAsia" w:ascii="宋体" w:hAnsi="宋体" w:cs="宋体"/>
          <w:bCs/>
          <w:color w:val="auto"/>
          <w:sz w:val="24"/>
          <w:szCs w:val="24"/>
          <w:highlight w:val="none"/>
          <w:lang w:val="en-US" w:eastAsia="zh-CN"/>
        </w:rPr>
        <w:t xml:space="preserve">5</w:t>
      </w:r>
      <w:r>
        <w:rPr>
          <w:rFonts w:hint="eastAsia" w:ascii="宋体" w:hAnsi="宋体" w:cs="宋体"/>
          <w:bCs/>
          <w:color w:val="auto"/>
          <w:sz w:val="24"/>
          <w:szCs w:val="24"/>
          <w:highlight w:val="none"/>
        </w:rPr>
        <w:t xml:space="preserve">.其他要求</w:t>
      </w:r>
      <w:r>
        <w:rPr>
          <w:color w:val="auto"/>
          <w:highlight w:val="none"/>
        </w:rPr>
      </w:r>
      <w:r/>
    </w:p>
    <w:p>
      <w:pPr>
        <w:pStyle w:val="873"/>
        <w:ind w:firstLine="480"/>
        <w:spacing w:line="252" w:lineRule="auto"/>
        <w:rPr>
          <w:rFonts w:hint="eastAsia" w:ascii="宋体" w:hAnsi="宋体" w:cs="宋体"/>
          <w:color w:val="auto"/>
          <w:sz w:val="24"/>
          <w:szCs w:val="24"/>
          <w:highlight w:val="none"/>
        </w:rPr>
      </w:pPr>
      <w:r>
        <w:rPr>
          <w:color w:val="auto"/>
          <w:highlight w:val="none"/>
        </w:rPr>
      </w:r>
      <w:bookmarkEnd w:id="195"/>
      <w:r>
        <w:rPr>
          <w:rFonts w:hint="eastAsia" w:ascii="宋体" w:hAnsi="宋体" w:cs="宋体"/>
          <w:color w:val="auto"/>
          <w:sz w:val="24"/>
          <w:szCs w:val="24"/>
          <w:highlight w:val="none"/>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color w:val="auto"/>
          <w:highlight w:val="none"/>
        </w:rPr>
      </w:r>
      <w:r/>
    </w:p>
    <w:p>
      <w:pPr>
        <w:pStyle w:val="873"/>
        <w:ind w:firstLine="480"/>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color w:val="auto"/>
          <w:highlight w:val="none"/>
        </w:rPr>
      </w:r>
      <w:r/>
    </w:p>
    <w:p>
      <w:pPr>
        <w:pStyle w:val="873"/>
        <w:ind w:firstLine="480"/>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r/>
    </w:p>
    <w:p>
      <w:pPr>
        <w:pStyle w:val="873"/>
        <w:spacing w:line="252" w:lineRule="auto"/>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rPr>
        <w:t xml:space="preserve">附件：</w:t>
      </w:r>
      <w:r>
        <w:rPr>
          <w:rFonts w:hint="eastAsia" w:ascii="宋体" w:hAnsi="宋体" w:cs="宋体"/>
          <w:b/>
          <w:bCs/>
          <w:color w:val="auto"/>
          <w:sz w:val="24"/>
          <w:szCs w:val="24"/>
          <w:highlight w:val="none"/>
          <w:lang w:val="en-US" w:eastAsia="zh-CN"/>
        </w:rPr>
        <w:t xml:space="preserve">1.</w:t>
      </w:r>
      <w:r>
        <w:rPr>
          <w:rFonts w:hint="eastAsia" w:ascii="宋体" w:hAnsi="宋体" w:eastAsia="宋体" w:cs="宋体"/>
          <w:color w:val="auto"/>
          <w:sz w:val="24"/>
          <w:szCs w:val="24"/>
          <w:highlight w:val="none"/>
          <w:lang w:bidi="ar"/>
        </w:rPr>
        <w:t xml:space="preserve">园林绿化养护管理考核评分细则</w:t>
      </w:r>
      <w:r>
        <w:rPr>
          <w:color w:val="auto"/>
          <w:highlight w:val="none"/>
        </w:rPr>
      </w:r>
      <w:r/>
    </w:p>
    <w:p>
      <w:pPr>
        <w:pStyle w:val="942"/>
        <w:numPr>
          <w:ilvl w:val="0"/>
          <w:numId w:val="0"/>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val="en-US" w:eastAsia="zh-CN" w:bidi="ar"/>
        </w:rPr>
        <w:t xml:space="preserve">六合经开区园林绿化</w:t>
      </w:r>
      <w:r>
        <w:rPr>
          <w:rFonts w:hint="eastAsia" w:ascii="宋体" w:hAnsi="宋体" w:eastAsia="宋体" w:cs="宋体"/>
          <w:color w:val="auto"/>
          <w:sz w:val="24"/>
          <w:szCs w:val="24"/>
          <w:highlight w:val="none"/>
          <w:lang w:val="en-US" w:eastAsia="zh-CN" w:bidi="ar"/>
        </w:rPr>
        <w:t xml:space="preserve">养护片区划分示意图</w:t>
      </w:r>
      <w:r>
        <w:rPr>
          <w:color w:val="auto"/>
          <w:highlight w:val="none"/>
        </w:rPr>
      </w:r>
      <w:r/>
    </w:p>
    <w:p>
      <w:pPr>
        <w:pStyle w:val="873"/>
        <w:rPr>
          <w:color w:val="auto"/>
          <w:highlight w:val="none"/>
        </w:rPr>
      </w:pP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val="en-US" w:eastAsia="zh-CN" w:bidi="ar"/>
        </w:rPr>
        <w:t xml:space="preserve">六合经济开发区2026-2027年二片区园林绿化养护清单</w:t>
      </w:r>
      <w:r>
        <w:rPr>
          <w:color w:val="auto"/>
          <w:highlight w:val="none"/>
        </w:rPr>
      </w:r>
      <w:r/>
    </w:p>
    <w:p>
      <w:pPr>
        <w:pStyle w:val="942"/>
        <w:numPr>
          <w:ilvl w:val="0"/>
          <w:numId w:val="0"/>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r>
      <w:r>
        <w:rPr>
          <w:color w:val="auto"/>
          <w:highlight w:val="none"/>
        </w:rPr>
      </w:r>
      <w:r/>
    </w:p>
    <w:p>
      <w:pPr>
        <w:pStyle w:val="942"/>
        <w:numPr>
          <w:ilvl w:val="0"/>
          <w:numId w:val="0"/>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r>
      <w:r>
        <w:rPr>
          <w:color w:val="auto"/>
          <w:highlight w:val="none"/>
        </w:rPr>
      </w:r>
      <w:r/>
    </w:p>
    <w:p>
      <w:pPr>
        <w:pStyle w:val="873"/>
        <w:jc w:val="center"/>
        <w:spacing w:line="252" w:lineRule="auto"/>
        <w:rPr>
          <w:rFonts w:hint="eastAsia" w:ascii="方正小标宋简体" w:hAnsi="方正小标宋简体" w:eastAsia="方正小标宋简体" w:cs="方正小标宋简体"/>
          <w:color w:val="auto"/>
          <w:sz w:val="36"/>
          <w:szCs w:val="36"/>
          <w:highlight w:val="none"/>
        </w:rPr>
      </w:pPr>
      <w:r>
        <w:rPr>
          <w:rFonts w:hint="eastAsia" w:ascii="宋体" w:hAnsi="宋体" w:cs="宋体"/>
          <w:b/>
          <w:bCs/>
          <w:color w:val="auto"/>
          <w:sz w:val="24"/>
          <w:szCs w:val="24"/>
          <w:highlight w:val="none"/>
        </w:rPr>
        <w:br w:type="page" w:clear="all"/>
      </w:r>
      <w:bookmarkStart w:id="196" w:name="_Toc120614281"/>
      <w:r>
        <w:rPr>
          <w:rFonts w:hint="eastAsia" w:ascii="方正小标宋简体" w:hAnsi="方正小标宋简体" w:eastAsia="方正小标宋简体" w:cs="方正小标宋简体"/>
          <w:color w:val="auto"/>
          <w:sz w:val="36"/>
          <w:szCs w:val="36"/>
          <w:highlight w:val="none"/>
        </w:rPr>
        <w:t xml:space="preserve">第五章  评标方法与评标标准</w:t>
      </w:r>
      <w:r>
        <w:rPr>
          <w:color w:val="auto"/>
          <w:highlight w:val="none"/>
        </w:rPr>
      </w:r>
      <w:r/>
    </w:p>
    <w:p>
      <w:pPr>
        <w:pStyle w:val="873"/>
        <w:ind w:firstLine="480"/>
        <w:spacing w:line="264" w:lineRule="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r>
      <w:r>
        <w:rPr>
          <w:color w:val="auto"/>
          <w:highlight w:val="none"/>
        </w:rPr>
      </w:r>
      <w:r/>
    </w:p>
    <w:p>
      <w:pPr>
        <w:pStyle w:val="873"/>
        <w:ind w:firstLine="480"/>
        <w:spacing w:line="264" w:lineRule="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一、评标方法</w:t>
      </w:r>
      <w:r>
        <w:rPr>
          <w:color w:val="auto"/>
          <w:highlight w:val="none"/>
        </w:rPr>
      </w:r>
      <w:r/>
    </w:p>
    <w:p>
      <w:pPr>
        <w:pStyle w:val="873"/>
        <w:ind w:firstLine="480"/>
        <w:spacing w:line="264" w:lineRule="auto"/>
        <w:rPr>
          <w:rFonts w:hint="eastAsia"/>
          <w:color w:val="auto"/>
          <w:highlight w:val="none"/>
        </w:rPr>
      </w:pPr>
      <w:r>
        <w:rPr>
          <w:rFonts w:hint="eastAsia" w:ascii="宋体" w:hAnsi="宋体" w:cs="宋体"/>
          <w:color w:val="auto"/>
          <w:sz w:val="24"/>
          <w:szCs w:val="24"/>
          <w:highlight w:val="none"/>
        </w:rPr>
        <w:t xml:space="preserve">1.采用综合评分法，评标结果按评审后得分由高到低顺序排列。得分相同的，按投标报价由低到高顺序排列。得分且投标报价相同的，按“评标标准-2.服务项”得分由高到低顺序排列。在投标文件满足招标文件全部实质性要求的供应商中，按照评审得分由高到低选取</w:t>
      </w:r>
      <w:r>
        <w:rPr>
          <w:rFonts w:hint="eastAsia" w:ascii="宋体" w:hAnsi="宋体" w:cs="宋体"/>
          <w:color w:val="auto"/>
          <w:sz w:val="24"/>
          <w:szCs w:val="24"/>
          <w:highlight w:val="none"/>
          <w:lang w:val="en-US" w:eastAsia="zh-CN"/>
        </w:rPr>
        <w:t xml:space="preserve">3</w:t>
      </w:r>
      <w:r>
        <w:rPr>
          <w:rFonts w:hint="eastAsia" w:ascii="宋体" w:hAnsi="宋体"/>
          <w:color w:val="auto"/>
          <w:sz w:val="24"/>
          <w:szCs w:val="24"/>
          <w:highlight w:val="none"/>
        </w:rPr>
        <w:t xml:space="preserve">名</w:t>
      </w:r>
      <w:r>
        <w:rPr>
          <w:rFonts w:hint="eastAsia" w:ascii="宋体" w:hAnsi="宋体" w:cs="宋体"/>
          <w:color w:val="auto"/>
          <w:sz w:val="24"/>
          <w:szCs w:val="24"/>
          <w:highlight w:val="none"/>
        </w:rPr>
        <w:t xml:space="preserve">中标候选人。</w:t>
      </w:r>
      <w:r>
        <w:rPr>
          <w:color w:val="auto"/>
          <w:highlight w:val="none"/>
        </w:rPr>
      </w:r>
      <w:r/>
    </w:p>
    <w:p>
      <w:pPr>
        <w:pStyle w:val="873"/>
        <w:ind w:firstLine="480"/>
        <w:spacing w:line="264" w:lineRule="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二、本国产品价格扣除</w:t>
      </w:r>
      <w:r>
        <w:rPr>
          <w:color w:val="auto"/>
          <w:highlight w:val="none"/>
        </w:rPr>
      </w:r>
      <w:r/>
    </w:p>
    <w:p>
      <w:pPr>
        <w:pStyle w:val="873"/>
        <w:ind w:firstLine="42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zh-CN" w:eastAsia="zh-CN"/>
        </w:rPr>
        <w:t xml:space="preserve">1.本</w:t>
      </w:r>
      <w:r>
        <w:rPr>
          <w:rFonts w:hint="eastAsia" w:ascii="宋体" w:hAnsi="宋体" w:eastAsia="宋体" w:cs="Times New Roman"/>
          <w:color w:val="auto"/>
          <w:sz w:val="24"/>
          <w:szCs w:val="24"/>
          <w:highlight w:val="none"/>
          <w:lang w:val="en-US" w:eastAsia="zh-CN"/>
        </w:rPr>
        <w:t xml:space="preserve">项目如</w:t>
      </w:r>
      <w:r>
        <w:rPr>
          <w:rFonts w:hint="eastAsia" w:ascii="宋体" w:hAnsi="宋体" w:eastAsia="宋体" w:cs="Times New Roman"/>
          <w:color w:val="auto"/>
          <w:sz w:val="24"/>
          <w:szCs w:val="24"/>
          <w:highlight w:val="none"/>
          <w:lang w:val="zh-CN" w:eastAsia="zh-CN"/>
        </w:rPr>
        <w:t xml:space="preserve">既有本国产品又有非本国产品参与竞争，依法对本国产品给予价格评审优惠，对本国产品的报价给予20%的价格扣除，用扣除后的价格参与评审。</w:t>
      </w:r>
      <w:r>
        <w:rPr>
          <w:color w:val="auto"/>
          <w:highlight w:val="none"/>
        </w:rPr>
      </w:r>
      <w:r/>
    </w:p>
    <w:p>
      <w:pPr>
        <w:pStyle w:val="873"/>
        <w:ind w:firstLine="420"/>
        <w:rPr>
          <w:rFonts w:hint="eastAsia" w:ascii="宋体" w:hAnsi="宋体" w:eastAsia="宋体" w:cs="Times New Roman"/>
          <w:i w:val="0"/>
          <w:iCs w:val="0"/>
          <w:caps w:val="0"/>
          <w:color w:val="auto"/>
          <w:spacing w:val="0"/>
          <w:sz w:val="24"/>
          <w:szCs w:val="24"/>
          <w:highlight w:val="none"/>
          <w:shd w:val="clear" w:color="auto" w:fill="auto"/>
        </w:rPr>
      </w:pP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i w:val="0"/>
          <w:iCs w:val="0"/>
          <w:caps w:val="0"/>
          <w:color w:val="auto"/>
          <w:spacing w:val="0"/>
          <w:sz w:val="24"/>
          <w:szCs w:val="24"/>
          <w:highlight w:val="none"/>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auto"/>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auto"/>
          <w:spacing w:val="0"/>
          <w:sz w:val="24"/>
          <w:szCs w:val="24"/>
          <w:highlight w:val="none"/>
          <w:shd w:val="clear" w:color="auto" w:fill="auto"/>
        </w:rPr>
        <w:t xml:space="preserve">的价格扣除，用扣除后的价格参与评审。</w:t>
      </w:r>
      <w:r>
        <w:rPr>
          <w:color w:val="auto"/>
          <w:highlight w:val="none"/>
        </w:rPr>
      </w:r>
      <w:r/>
    </w:p>
    <w:p>
      <w:pPr>
        <w:pStyle w:val="873"/>
        <w:ind w:firstLine="420"/>
        <w:rPr>
          <w:rFonts w:hint="eastAsia" w:ascii="宋体" w:hAnsi="宋体" w:eastAsia="宋体" w:cs="Times New Roman"/>
          <w:b/>
          <w:bCs/>
          <w:color w:val="auto"/>
          <w:sz w:val="24"/>
          <w:szCs w:val="24"/>
          <w:highlight w:val="none"/>
        </w:rPr>
      </w:pPr>
      <w:r>
        <w:rPr>
          <w:rFonts w:hint="eastAsia" w:ascii="宋体" w:hAnsi="宋体" w:eastAsia="宋体" w:cs="Times New Roman"/>
          <w:i w:val="0"/>
          <w:iCs w:val="0"/>
          <w:caps w:val="0"/>
          <w:color w:val="auto"/>
          <w:spacing w:val="0"/>
          <w:sz w:val="24"/>
          <w:szCs w:val="24"/>
          <w:highlight w:val="none"/>
          <w:shd w:val="clear" w:color="auto" w:fill="auto"/>
        </w:rPr>
        <w:t xml:space="preserve">当采购项目或者采购包的采购标的中含有多种产品，供应商为该采购项目或者采购包提供的符合本国产品标准的产品成本之和占该供应商提供的全部产品成本之和的比例达到</w:t>
      </w:r>
      <w:r>
        <w:rPr>
          <w:rFonts w:hint="eastAsia" w:ascii="宋体" w:hAnsi="宋体" w:eastAsia="宋体" w:cs="Times New Roman"/>
          <w:i w:val="0"/>
          <w:iCs w:val="0"/>
          <w:caps w:val="0"/>
          <w:color w:val="auto"/>
          <w:spacing w:val="0"/>
          <w:sz w:val="24"/>
          <w:szCs w:val="24"/>
          <w:highlight w:val="none"/>
          <w:shd w:val="clear" w:color="auto" w:fill="auto"/>
          <w:vertAlign w:val="baseline"/>
          <w:lang w:val="en-US"/>
        </w:rPr>
        <w:t xml:space="preserve">80%</w:t>
      </w:r>
      <w:r>
        <w:rPr>
          <w:rFonts w:hint="eastAsia" w:ascii="宋体" w:hAnsi="宋体" w:eastAsia="宋体" w:cs="Times New Roman"/>
          <w:i w:val="0"/>
          <w:iCs w:val="0"/>
          <w:caps w:val="0"/>
          <w:color w:val="auto"/>
          <w:spacing w:val="0"/>
          <w:sz w:val="24"/>
          <w:szCs w:val="24"/>
          <w:highlight w:val="none"/>
          <w:shd w:val="clear" w:color="auto" w:fill="auto"/>
        </w:rPr>
        <w:t xml:space="preserve">以上时，</w:t>
      </w:r>
      <w:r>
        <w:rPr>
          <w:rFonts w:hint="eastAsia" w:ascii="宋体" w:hAnsi="宋体" w:eastAsia="宋体" w:cs="Times New Roman"/>
          <w:b/>
          <w:bCs/>
          <w:i w:val="0"/>
          <w:iCs w:val="0"/>
          <w:caps w:val="0"/>
          <w:color w:val="auto"/>
          <w:spacing w:val="0"/>
          <w:sz w:val="24"/>
          <w:szCs w:val="24"/>
          <w:highlight w:val="none"/>
          <w:shd w:val="clear" w:color="auto" w:fill="auto"/>
        </w:rPr>
        <w:t xml:space="preserve">且供应商在投标（响应）文件中对此作出承诺的</w:t>
      </w:r>
      <w:r>
        <w:rPr>
          <w:rFonts w:hint="eastAsia" w:ascii="宋体" w:hAnsi="宋体" w:eastAsia="宋体" w:cs="Times New Roman"/>
          <w:b/>
          <w:bCs/>
          <w:i w:val="0"/>
          <w:iCs w:val="0"/>
          <w:caps w:val="0"/>
          <w:color w:val="auto"/>
          <w:spacing w:val="0"/>
          <w:sz w:val="24"/>
          <w:szCs w:val="24"/>
          <w:highlight w:val="none"/>
          <w:shd w:val="clear" w:color="auto" w:fill="auto"/>
          <w:lang w:eastAsia="zh-CN"/>
        </w:rPr>
        <w:t xml:space="preserve">（</w:t>
      </w:r>
      <w:r>
        <w:rPr>
          <w:rFonts w:hint="eastAsia" w:ascii="宋体" w:hAnsi="宋体" w:eastAsia="宋体" w:cs="Times New Roman"/>
          <w:b/>
          <w:bCs/>
          <w:color w:val="auto"/>
          <w:sz w:val="24"/>
          <w:szCs w:val="24"/>
          <w:highlight w:val="none"/>
          <w:lang w:val="en-US" w:eastAsia="zh-CN"/>
        </w:rPr>
        <w:t xml:space="preserve">按照采购文件要求在《投标分项报价表》中作出承诺</w:t>
      </w:r>
      <w:r>
        <w:rPr>
          <w:rFonts w:hint="eastAsia" w:ascii="宋体" w:hAnsi="宋体" w:eastAsia="宋体" w:cs="Times New Roman"/>
          <w:b/>
          <w:bCs/>
          <w:i w:val="0"/>
          <w:iCs w:val="0"/>
          <w:caps w:val="0"/>
          <w:color w:val="auto"/>
          <w:spacing w:val="0"/>
          <w:sz w:val="24"/>
          <w:szCs w:val="24"/>
          <w:highlight w:val="none"/>
          <w:shd w:val="clear" w:color="auto" w:fill="auto"/>
          <w:lang w:eastAsia="zh-CN"/>
        </w:rPr>
        <w:t xml:space="preserve">）</w:t>
      </w:r>
      <w:r>
        <w:rPr>
          <w:rFonts w:hint="eastAsia" w:ascii="宋体" w:hAnsi="宋体" w:eastAsia="宋体" w:cs="Times New Roman"/>
          <w:b/>
          <w:bCs/>
          <w:i w:val="0"/>
          <w:iCs w:val="0"/>
          <w:caps w:val="0"/>
          <w:color w:val="auto"/>
          <w:spacing w:val="0"/>
          <w:sz w:val="24"/>
          <w:szCs w:val="24"/>
          <w:highlight w:val="none"/>
          <w:shd w:val="clear" w:color="auto" w:fill="auto"/>
        </w:rPr>
        <w:t xml:space="preserve">，</w:t>
      </w:r>
      <w:r>
        <w:rPr>
          <w:rFonts w:hint="eastAsia" w:ascii="宋体" w:hAnsi="宋体" w:eastAsia="宋体" w:cs="Times New Roman"/>
          <w:i w:val="0"/>
          <w:iCs w:val="0"/>
          <w:caps w:val="0"/>
          <w:color w:val="auto"/>
          <w:spacing w:val="0"/>
          <w:sz w:val="24"/>
          <w:szCs w:val="24"/>
          <w:highlight w:val="none"/>
          <w:shd w:val="clear" w:color="auto" w:fill="auto"/>
        </w:rPr>
        <w:t xml:space="preserve">则依法对该供应商提供的全部产品给予价格评审优惠，即对该供应商提供的全部产品的总报价给予</w:t>
      </w:r>
      <w:r>
        <w:rPr>
          <w:rFonts w:hint="eastAsia" w:ascii="宋体" w:hAnsi="宋体" w:eastAsia="宋体" w:cs="Times New Roman"/>
          <w:i w:val="0"/>
          <w:iCs w:val="0"/>
          <w:caps w:val="0"/>
          <w:color w:val="auto"/>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auto"/>
          <w:spacing w:val="0"/>
          <w:sz w:val="24"/>
          <w:szCs w:val="24"/>
          <w:highlight w:val="none"/>
          <w:shd w:val="clear" w:color="auto" w:fill="auto"/>
        </w:rPr>
        <w:t xml:space="preserve">的价格扣除，用扣除后的价格参与评审。</w:t>
      </w:r>
      <w:r>
        <w:rPr>
          <w:rFonts w:hint="eastAsia" w:ascii="宋体" w:hAnsi="宋体" w:eastAsia="宋体" w:cs="Times New Roman"/>
          <w:b/>
          <w:bCs/>
          <w:i w:val="0"/>
          <w:iCs w:val="0"/>
          <w:caps w:val="0"/>
          <w:color w:val="auto"/>
          <w:spacing w:val="0"/>
          <w:sz w:val="24"/>
          <w:szCs w:val="24"/>
          <w:highlight w:val="none"/>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auto"/>
          <w:spacing w:val="0"/>
          <w:sz w:val="24"/>
          <w:szCs w:val="24"/>
          <w:highlight w:val="none"/>
          <w:shd w:val="clear" w:color="auto" w:fill="auto"/>
          <w:lang w:eastAsia="zh-CN"/>
        </w:rPr>
        <w:t xml:space="preserve">。</w:t>
      </w:r>
      <w:r>
        <w:rPr>
          <w:color w:val="auto"/>
          <w:highlight w:val="none"/>
        </w:rPr>
      </w:r>
      <w:r/>
    </w:p>
    <w:p>
      <w:pPr>
        <w:pStyle w:val="873"/>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3.供应商需按照采购文件要求提供《关于符合本国产品标准的声明函》，如不提供将不享受本国产品价格评审优惠。</w:t>
      </w:r>
      <w:r>
        <w:rPr>
          <w:rFonts w:hint="eastAsia" w:ascii="宋体" w:hAnsi="宋体" w:eastAsia="宋体" w:cs="Times New Roman"/>
          <w:color w:val="auto"/>
          <w:sz w:val="24"/>
          <w:szCs w:val="24"/>
          <w:highlight w:val="none"/>
        </w:rPr>
        <w:t xml:space="preserve">供应商需在《声明函》</w:t>
      </w:r>
      <w:r>
        <w:rPr>
          <w:rFonts w:hint="eastAsia" w:ascii="宋体" w:hAnsi="宋体" w:eastAsia="宋体" w:cs="Times New Roman"/>
          <w:color w:val="auto"/>
          <w:sz w:val="24"/>
          <w:szCs w:val="24"/>
          <w:highlight w:val="none"/>
          <w:lang w:val="en-US" w:eastAsia="zh-CN"/>
        </w:rPr>
        <w:t xml:space="preserve">中逐项</w:t>
      </w:r>
      <w:r>
        <w:rPr>
          <w:rFonts w:hint="eastAsia" w:ascii="宋体" w:hAnsi="宋体" w:eastAsia="宋体" w:cs="Times New Roman"/>
          <w:color w:val="auto"/>
          <w:sz w:val="24"/>
          <w:szCs w:val="24"/>
          <w:highlight w:val="none"/>
        </w:rPr>
        <w:t xml:space="preserve">准确填写产品名称、厂名、生产厂址三项信息，三项信息中任意一项未填写的视为该项产品不符合本国产品标准，不享受本国产品价格评审优惠。</w:t>
      </w:r>
      <w:r>
        <w:rPr>
          <w:color w:val="auto"/>
          <w:highlight w:val="none"/>
        </w:rPr>
      </w:r>
      <w:r/>
    </w:p>
    <w:p>
      <w:pPr>
        <w:pStyle w:val="873"/>
        <w:ind w:firstLine="422"/>
        <w:keepLines w:val="0"/>
        <w:keepNext w:val="0"/>
        <w:pageBreakBefore w:val="0"/>
        <w:spacing w:line="240" w:lineRule="auto"/>
        <w:widowControl/>
        <w:rPr>
          <w:rFonts w:hint="eastAsia" w:ascii="宋体" w:hAnsi="宋体" w:eastAsia="宋体" w:cs="宋体"/>
          <w:b/>
          <w:bCs/>
          <w:color w:val="auto"/>
          <w:sz w:val="24"/>
          <w:szCs w:val="24"/>
          <w:highlight w:val="none"/>
          <w:u w:val="none"/>
        </w:rPr>
      </w:pPr>
      <w:r>
        <w:rPr>
          <w:rFonts w:hint="eastAsia" w:ascii="宋体" w:hAnsi="宋体" w:eastAsia="宋体" w:cs="Times New Roman"/>
          <w:b/>
          <w:bCs/>
          <w:color w:val="auto"/>
          <w:sz w:val="24"/>
          <w:szCs w:val="24"/>
          <w:highlight w:val="none"/>
          <w:lang w:val="en-US" w:eastAsia="zh-CN"/>
        </w:rPr>
        <w:t xml:space="preserve">4.</w:t>
      </w:r>
      <w:r>
        <w:rPr>
          <w:rFonts w:hint="eastAsia" w:ascii="宋体" w:hAnsi="宋体" w:eastAsia="宋体" w:cs="Times New Roman"/>
          <w:b/>
          <w:bCs/>
          <w:color w:val="auto"/>
          <w:sz w:val="24"/>
          <w:szCs w:val="24"/>
          <w:highlight w:val="none"/>
          <w:lang w:val="zh-CN" w:eastAsia="zh-CN"/>
        </w:rPr>
        <w:t xml:space="preserve">对本国产品的支持政策与政府采购支持中小企业、节能环保等优惠政策叠加适用，对应执行价格扣除政策的项目，统一在原报价的基础上给予价格扣除。</w:t>
      </w:r>
      <w:r>
        <w:rPr>
          <w:color w:val="auto"/>
          <w:highlight w:val="none"/>
        </w:rPr>
      </w:r>
      <w:r/>
    </w:p>
    <w:p>
      <w:pPr>
        <w:pStyle w:val="873"/>
        <w:ind w:firstLine="480"/>
        <w:spacing w:line="264" w:lineRule="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五、评标标准</w:t>
      </w:r>
      <w:r>
        <w:rPr>
          <w:color w:val="auto"/>
          <w:highlight w:val="none"/>
        </w:rPr>
      </w:r>
      <w:r/>
    </w:p>
    <w:tbl>
      <w:tblPr>
        <w:tblW w:w="9757"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34"/>
        <w:gridCol w:w="1134"/>
        <w:gridCol w:w="1134"/>
        <w:gridCol w:w="1134"/>
        <w:gridCol w:w="1134"/>
        <w:gridCol w:w="1134"/>
      </w:tblGrid>
      <w:tr>
        <w:trPr>
          <w:trHeight w:val="493"/>
          <w:tblHeader/>
        </w:trPr>
        <w:tc>
          <w:tcPr>
            <w:gridSpan w:val="2"/>
            <w:tcW w:w="519" w:type="dxa"/>
            <w:vAlign w:val="top"/>
            <w:textDirection w:val="lrTb"/>
            <w:noWrap w:val="false"/>
          </w:tcPr>
          <w:p>
            <w:pPr>
              <w:pStyle w:val="873"/>
              <w:jc w:val="center"/>
              <w:spacing w:before="122" w:line="288" w:lineRule="auto"/>
              <w:rPr>
                <w:rFonts w:ascii="宋体" w:hAnsi="宋体" w:cs="宋体"/>
                <w:b/>
                <w:bCs/>
                <w:color w:val="auto"/>
                <w:spacing w:val="-3"/>
                <w:highlight w:val="none"/>
              </w:rPr>
            </w:pPr>
            <w:r>
              <w:rPr>
                <w:rFonts w:ascii="宋体" w:hAnsi="宋体" w:cs="宋体"/>
                <w:b/>
                <w:bCs/>
                <w:color w:val="auto"/>
                <w:spacing w:val="-3"/>
                <w:highlight w:val="none"/>
              </w:rPr>
              <w:t xml:space="preserve">序号</w:t>
            </w:r>
            <w:r>
              <w:rPr>
                <w:color w:val="auto"/>
                <w:highlight w:val="none"/>
              </w:rPr>
            </w:r>
            <w:r/>
          </w:p>
        </w:tc>
        <w:tc>
          <w:tcPr>
            <w:tcW w:w="1180" w:type="dxa"/>
            <w:vAlign w:val="top"/>
            <w:textDirection w:val="lrTb"/>
            <w:noWrap w:val="false"/>
          </w:tcPr>
          <w:p>
            <w:pPr>
              <w:pStyle w:val="873"/>
              <w:jc w:val="center"/>
              <w:spacing w:before="122" w:line="288" w:lineRule="auto"/>
              <w:rPr>
                <w:rFonts w:ascii="宋体" w:hAnsi="宋体" w:cs="宋体"/>
                <w:b/>
                <w:bCs/>
                <w:color w:val="auto"/>
                <w:spacing w:val="-3"/>
                <w:highlight w:val="none"/>
              </w:rPr>
            </w:pPr>
            <w:r>
              <w:rPr>
                <w:rFonts w:ascii="宋体" w:hAnsi="宋体" w:cs="宋体"/>
                <w:b/>
                <w:bCs/>
                <w:color w:val="auto"/>
                <w:spacing w:val="-3"/>
                <w:highlight w:val="none"/>
              </w:rPr>
              <w:t xml:space="preserve">评审因素</w:t>
            </w:r>
            <w:r>
              <w:rPr>
                <w:color w:val="auto"/>
                <w:highlight w:val="none"/>
              </w:rPr>
            </w:r>
            <w:r/>
          </w:p>
        </w:tc>
        <w:tc>
          <w:tcPr>
            <w:tcW w:w="6624" w:type="dxa"/>
            <w:vAlign w:val="top"/>
            <w:textDirection w:val="lrTb"/>
            <w:noWrap w:val="false"/>
          </w:tcPr>
          <w:p>
            <w:pPr>
              <w:pStyle w:val="873"/>
              <w:jc w:val="center"/>
              <w:spacing w:before="122" w:line="288" w:lineRule="auto"/>
              <w:rPr>
                <w:rFonts w:ascii="宋体" w:hAnsi="宋体" w:cs="宋体"/>
                <w:b/>
                <w:bCs/>
                <w:color w:val="auto"/>
                <w:spacing w:val="-3"/>
                <w:highlight w:val="none"/>
              </w:rPr>
            </w:pPr>
            <w:r>
              <w:rPr>
                <w:rFonts w:ascii="宋体" w:hAnsi="宋体" w:cs="宋体"/>
                <w:b/>
                <w:bCs/>
                <w:color w:val="auto"/>
                <w:spacing w:val="-3"/>
                <w:highlight w:val="none"/>
              </w:rPr>
              <w:t xml:space="preserve">评审细则</w:t>
            </w:r>
            <w:r>
              <w:rPr>
                <w:color w:val="auto"/>
                <w:highlight w:val="none"/>
              </w:rPr>
            </w:r>
            <w:r/>
          </w:p>
        </w:tc>
        <w:tc>
          <w:tcPr>
            <w:tcW w:w="571" w:type="dxa"/>
            <w:vAlign w:val="top"/>
            <w:textDirection w:val="lrTb"/>
            <w:noWrap w:val="false"/>
          </w:tcPr>
          <w:p>
            <w:pPr>
              <w:pStyle w:val="873"/>
              <w:jc w:val="center"/>
              <w:spacing w:before="122" w:line="288" w:lineRule="auto"/>
              <w:rPr>
                <w:rFonts w:ascii="宋体" w:hAnsi="宋体" w:cs="宋体"/>
                <w:b/>
                <w:bCs/>
                <w:color w:val="auto"/>
                <w:spacing w:val="-3"/>
                <w:highlight w:val="none"/>
              </w:rPr>
            </w:pPr>
            <w:r>
              <w:rPr>
                <w:rFonts w:ascii="宋体" w:hAnsi="宋体" w:cs="宋体"/>
                <w:b/>
                <w:bCs/>
                <w:color w:val="auto"/>
                <w:spacing w:val="-3"/>
                <w:highlight w:val="none"/>
              </w:rPr>
              <w:t xml:space="preserve">分值</w:t>
            </w:r>
            <w:r>
              <w:rPr>
                <w:color w:val="auto"/>
                <w:highlight w:val="none"/>
              </w:rPr>
            </w:r>
            <w:r/>
          </w:p>
        </w:tc>
        <w:tc>
          <w:tcPr>
            <w:tcW w:w="863" w:type="dxa"/>
            <w:vAlign w:val="top"/>
            <w:textDirection w:val="lrTb"/>
            <w:noWrap w:val="false"/>
          </w:tcPr>
          <w:p>
            <w:pPr>
              <w:pStyle w:val="873"/>
              <w:jc w:val="center"/>
              <w:spacing w:before="122" w:line="288" w:lineRule="auto"/>
              <w:rPr>
                <w:rFonts w:ascii="宋体" w:hAnsi="宋体" w:cs="宋体"/>
                <w:b/>
                <w:bCs/>
                <w:color w:val="auto"/>
                <w:spacing w:val="-3"/>
                <w:highlight w:val="none"/>
              </w:rPr>
            </w:pPr>
            <w:r>
              <w:rPr>
                <w:rFonts w:ascii="宋体" w:hAnsi="宋体" w:cs="宋体"/>
                <w:b/>
                <w:bCs/>
                <w:color w:val="auto"/>
                <w:spacing w:val="-3"/>
                <w:highlight w:val="none"/>
              </w:rPr>
              <w:t xml:space="preserve">类型</w:t>
            </w:r>
            <w:r>
              <w:rPr>
                <w:color w:val="auto"/>
                <w:highlight w:val="none"/>
              </w:rPr>
            </w:r>
            <w:r/>
          </w:p>
        </w:tc>
      </w:tr>
      <w:tr>
        <w:trPr>
          <w:gridAfter w:val="1"/>
          <w:trHeight w:val="465"/>
        </w:trPr>
        <w:tc>
          <w:tcPr>
            <w:gridSpan w:val="5"/>
            <w:tcW w:w="9757" w:type="dxa"/>
            <w:vAlign w:val="top"/>
            <w:textDirection w:val="lrTb"/>
            <w:noWrap w:val="false"/>
          </w:tcPr>
          <w:p>
            <w:pPr>
              <w:pStyle w:val="873"/>
              <w:ind w:left="114"/>
              <w:spacing w:before="122" w:line="264" w:lineRule="auto"/>
              <w:rPr>
                <w:rFonts w:ascii="宋体" w:hAnsi="宋体" w:cs="宋体"/>
                <w:color w:val="auto"/>
                <w:highlight w:val="none"/>
              </w:rPr>
            </w:pPr>
            <w:r>
              <w:rPr>
                <w:rFonts w:hint="eastAsia" w:ascii="宋体" w:hAnsi="宋体" w:cs="宋体"/>
                <w:b/>
                <w:bCs/>
                <w:color w:val="auto"/>
                <w:spacing w:val="-3"/>
                <w:highlight w:val="none"/>
              </w:rPr>
              <w:t xml:space="preserve">1.</w:t>
            </w:r>
            <w:r>
              <w:rPr>
                <w:rFonts w:ascii="宋体" w:hAnsi="宋体" w:cs="宋体"/>
                <w:b/>
                <w:bCs/>
                <w:color w:val="auto"/>
                <w:spacing w:val="-3"/>
                <w:highlight w:val="none"/>
              </w:rPr>
              <w:t xml:space="preserve">价</w:t>
            </w:r>
            <w:r>
              <w:rPr>
                <w:rFonts w:ascii="宋体" w:hAnsi="宋体" w:cs="宋体"/>
                <w:b/>
                <w:bCs/>
                <w:color w:val="auto"/>
                <w:spacing w:val="-2"/>
                <w:highlight w:val="none"/>
              </w:rPr>
              <w:t xml:space="preserve">格</w:t>
            </w:r>
            <w:r>
              <w:rPr>
                <w:color w:val="auto"/>
                <w:highlight w:val="none"/>
              </w:rPr>
            </w:r>
            <w:r/>
          </w:p>
        </w:tc>
      </w:tr>
      <w:tr>
        <w:trPr>
          <w:trHeight w:val="1202"/>
        </w:trPr>
        <w:tc>
          <w:tcPr>
            <w:gridSpan w:val="2"/>
            <w:tcW w:w="519" w:type="dxa"/>
            <w:vAlign w:val="center"/>
            <w:textDirection w:val="lrTb"/>
            <w:noWrap w:val="false"/>
          </w:tcPr>
          <w:p>
            <w:pPr>
              <w:pStyle w:val="873"/>
              <w:jc w:val="center"/>
              <w:spacing w:before="68" w:line="264" w:lineRule="auto"/>
              <w:rPr>
                <w:rFonts w:ascii="宋体" w:hAnsi="宋体" w:cs="宋体"/>
                <w:color w:val="auto"/>
                <w:highlight w:val="none"/>
              </w:rPr>
            </w:pPr>
            <w:r>
              <w:rPr>
                <w:rFonts w:ascii="宋体" w:hAnsi="宋体" w:cs="宋体"/>
                <w:color w:val="auto"/>
                <w:spacing w:val="-6"/>
                <w:highlight w:val="none"/>
              </w:rPr>
              <w:t xml:space="preserve">1</w:t>
            </w:r>
            <w:r>
              <w:rPr>
                <w:rFonts w:ascii="宋体" w:hAnsi="宋体" w:cs="宋体"/>
                <w:color w:val="auto"/>
                <w:spacing w:val="-5"/>
                <w:highlight w:val="none"/>
              </w:rPr>
              <w:t xml:space="preserve">.1</w:t>
            </w:r>
            <w:r>
              <w:rPr>
                <w:color w:val="auto"/>
                <w:highlight w:val="none"/>
              </w:rPr>
            </w:r>
            <w:r/>
          </w:p>
        </w:tc>
        <w:tc>
          <w:tcPr>
            <w:tcW w:w="1180" w:type="dxa"/>
            <w:vAlign w:val="center"/>
            <w:textDirection w:val="lrTb"/>
            <w:noWrap w:val="false"/>
          </w:tcPr>
          <w:p>
            <w:pPr>
              <w:pStyle w:val="873"/>
              <w:jc w:val="left"/>
              <w:spacing w:before="68" w:line="264" w:lineRule="auto"/>
              <w:rPr>
                <w:rFonts w:ascii="宋体" w:hAnsi="宋体" w:cs="宋体"/>
                <w:color w:val="auto"/>
                <w:highlight w:val="none"/>
              </w:rPr>
            </w:pPr>
            <w:r>
              <w:rPr>
                <w:rFonts w:ascii="宋体" w:hAnsi="宋体" w:cs="宋体"/>
                <w:color w:val="auto"/>
                <w:spacing w:val="-2"/>
                <w:highlight w:val="none"/>
              </w:rPr>
              <w:t xml:space="preserve">价格分</w:t>
            </w:r>
            <w:r>
              <w:rPr>
                <w:color w:val="auto"/>
                <w:highlight w:val="none"/>
              </w:rPr>
            </w:r>
            <w:r/>
          </w:p>
        </w:tc>
        <w:tc>
          <w:tcPr>
            <w:tcW w:w="6624" w:type="dxa"/>
            <w:vAlign w:val="center"/>
            <w:textDirection w:val="lrTb"/>
            <w:noWrap w:val="false"/>
          </w:tcPr>
          <w:p>
            <w:pPr>
              <w:pStyle w:val="873"/>
              <w:jc w:val="left"/>
              <w:spacing w:line="264" w:lineRule="auto"/>
              <w:rPr>
                <w:rFonts w:ascii="宋体" w:hAnsi="宋体" w:cs="宋体"/>
                <w:color w:val="auto"/>
                <w:highlight w:val="none"/>
              </w:rPr>
            </w:pPr>
            <w:r>
              <w:rPr>
                <w:rFonts w:hint="eastAsia" w:ascii="宋体" w:hAnsi="宋体" w:cs="宋体"/>
                <w:color w:val="auto"/>
                <w:spacing w:val="1"/>
                <w:highlight w:val="none"/>
              </w:rPr>
              <w:t xml:space="preserve">采用低价优先</w:t>
            </w:r>
            <w:r>
              <w:rPr>
                <w:rFonts w:hint="eastAsia" w:ascii="宋体" w:hAnsi="宋体" w:cs="宋体"/>
                <w:color w:val="auto"/>
                <w:highlight w:val="none"/>
              </w:rPr>
              <w:t xml:space="preserve">法计算，即满足招标文件要求且投标价格最低的投标</w:t>
            </w:r>
            <w:r>
              <w:rPr>
                <w:rFonts w:hint="eastAsia" w:ascii="宋体" w:hAnsi="宋体" w:cs="宋体"/>
                <w:color w:val="auto"/>
                <w:spacing w:val="1"/>
                <w:highlight w:val="none"/>
              </w:rPr>
              <w:t xml:space="preserve">报价为评标基准</w:t>
            </w:r>
            <w:r>
              <w:rPr>
                <w:rFonts w:hint="eastAsia" w:ascii="宋体" w:hAnsi="宋体" w:cs="宋体"/>
                <w:color w:val="auto"/>
                <w:highlight w:val="none"/>
              </w:rPr>
              <w:t xml:space="preserve">价，其价格分为满分。其他投标人的价格分统一按</w:t>
            </w:r>
            <w:r>
              <w:rPr>
                <w:rFonts w:hint="eastAsia" w:ascii="宋体" w:hAnsi="宋体" w:cs="宋体"/>
                <w:color w:val="auto"/>
                <w:spacing w:val="-1"/>
                <w:highlight w:val="none"/>
              </w:rPr>
              <w:t xml:space="preserve">照下列公</w:t>
            </w:r>
            <w:r>
              <w:rPr>
                <w:rFonts w:hint="eastAsia" w:ascii="宋体" w:hAnsi="宋体" w:cs="宋体"/>
                <w:color w:val="auto"/>
                <w:highlight w:val="none"/>
              </w:rPr>
              <w:t xml:space="preserve">式计算：投标报价得分=(评标基准价/投标报价)×价格分值（小数点保留两位）</w:t>
            </w:r>
            <w:r>
              <w:rPr>
                <w:color w:val="auto"/>
                <w:highlight w:val="none"/>
              </w:rPr>
            </w:r>
            <w:r/>
          </w:p>
        </w:tc>
        <w:tc>
          <w:tcPr>
            <w:tcW w:w="571" w:type="dxa"/>
            <w:vAlign w:val="center"/>
            <w:textDirection w:val="lrTb"/>
            <w:noWrap w:val="false"/>
          </w:tcPr>
          <w:p>
            <w:pPr>
              <w:pStyle w:val="873"/>
              <w:jc w:val="center"/>
              <w:spacing w:before="68" w:line="264" w:lineRule="auto"/>
              <w:rPr>
                <w:rFonts w:hint="eastAsia" w:ascii="宋体" w:hAnsi="宋体" w:cs="宋体"/>
                <w:color w:val="auto"/>
                <w:spacing w:val="-4"/>
                <w:highlight w:val="none"/>
              </w:rPr>
            </w:pPr>
            <w:r>
              <w:rPr>
                <w:rFonts w:hint="eastAsia" w:ascii="宋体" w:hAnsi="宋体" w:cs="宋体"/>
                <w:color w:val="auto"/>
                <w:highlight w:val="none"/>
                <w:lang w:val="en-US" w:eastAsia="zh-CN"/>
              </w:rPr>
              <w:t xml:space="preserve">3</w:t>
            </w:r>
            <w:r>
              <w:rPr>
                <w:rFonts w:hint="eastAsia" w:ascii="宋体" w:hAnsi="宋体" w:cs="宋体"/>
                <w:color w:val="auto"/>
                <w:spacing w:val="-4"/>
                <w:highlight w:val="none"/>
              </w:rPr>
              <w:t xml:space="preserve">0</w:t>
            </w:r>
            <w:r>
              <w:rPr>
                <w:color w:val="auto"/>
                <w:highlight w:val="none"/>
              </w:rPr>
            </w:r>
            <w:r/>
          </w:p>
        </w:tc>
        <w:tc>
          <w:tcPr>
            <w:tcW w:w="863" w:type="dxa"/>
            <w:vAlign w:val="center"/>
            <w:textDirection w:val="lrTb"/>
            <w:noWrap w:val="false"/>
          </w:tcPr>
          <w:p>
            <w:pPr>
              <w:pStyle w:val="873"/>
              <w:jc w:val="center"/>
              <w:spacing w:before="68" w:line="264" w:lineRule="auto"/>
              <w:rPr>
                <w:rFonts w:hint="eastAsia" w:ascii="宋体" w:hAnsi="宋体" w:cs="宋体"/>
                <w:color w:val="auto"/>
                <w:spacing w:val="-4"/>
                <w:highlight w:val="none"/>
              </w:rPr>
            </w:pPr>
            <w:r>
              <w:rPr>
                <w:rFonts w:hint="eastAsia" w:ascii="宋体" w:hAnsi="宋体" w:cs="宋体"/>
                <w:color w:val="auto"/>
                <w:spacing w:val="-4"/>
                <w:highlight w:val="none"/>
              </w:rPr>
              <w:t xml:space="preserve">价格分</w:t>
            </w:r>
            <w:r>
              <w:rPr>
                <w:color w:val="auto"/>
                <w:highlight w:val="none"/>
              </w:rPr>
            </w:r>
            <w:r/>
          </w:p>
        </w:tc>
      </w:tr>
      <w:tr>
        <w:trPr>
          <w:gridAfter w:val="1"/>
          <w:trHeight w:val="465"/>
        </w:trPr>
        <w:tc>
          <w:tcPr>
            <w:gridSpan w:val="5"/>
            <w:tcW w:w="9757" w:type="dxa"/>
            <w:vAlign w:val="top"/>
            <w:textDirection w:val="lrTb"/>
            <w:noWrap w:val="false"/>
          </w:tcPr>
          <w:p>
            <w:pPr>
              <w:pStyle w:val="873"/>
              <w:ind w:left="114"/>
              <w:spacing w:before="123" w:line="264" w:lineRule="auto"/>
              <w:rPr>
                <w:rFonts w:ascii="宋体" w:hAnsi="宋体" w:cs="宋体"/>
                <w:color w:val="auto"/>
                <w:highlight w:val="none"/>
              </w:rPr>
            </w:pPr>
            <w:r>
              <w:rPr>
                <w:rFonts w:hint="eastAsia" w:ascii="宋体" w:hAnsi="宋体" w:cs="宋体"/>
                <w:b/>
                <w:bCs/>
                <w:color w:val="auto"/>
                <w:spacing w:val="-3"/>
                <w:highlight w:val="none"/>
              </w:rPr>
              <w:t xml:space="preserve">2.服务</w:t>
            </w:r>
            <w:r>
              <w:rPr>
                <w:color w:val="auto"/>
                <w:highlight w:val="none"/>
              </w:rPr>
            </w:r>
            <w:r/>
          </w:p>
        </w:tc>
      </w:tr>
      <w:tr>
        <w:trPr>
          <w:trHeight w:val="448"/>
        </w:trPr>
        <w:tc>
          <w:tcPr>
            <w:gridSpan w:val="2"/>
            <w:tcW w:w="519" w:type="dxa"/>
            <w:vAlign w:val="center"/>
            <w:textDirection w:val="lrTb"/>
            <w:noWrap w:val="false"/>
          </w:tcPr>
          <w:p>
            <w:pPr>
              <w:pStyle w:val="873"/>
              <w:widowControl/>
              <w:rPr>
                <w:rFonts w:ascii="宋体" w:hAnsi="宋体" w:cs="宋体"/>
                <w:color w:val="auto"/>
                <w:spacing w:val="-2"/>
                <w:highlight w:val="none"/>
              </w:rPr>
            </w:pPr>
            <w:r>
              <w:rPr>
                <w:rFonts w:hint="eastAsia"/>
                <w:color w:val="auto"/>
                <w:highlight w:val="none"/>
                <w:lang w:bidi="ar"/>
              </w:rPr>
              <w:t xml:space="preserve">2.1</w:t>
            </w:r>
            <w:r>
              <w:rPr>
                <w:color w:val="auto"/>
                <w:highlight w:val="none"/>
              </w:rPr>
            </w:r>
            <w:r/>
          </w:p>
        </w:tc>
        <w:tc>
          <w:tcPr>
            <w:tcW w:w="1180" w:type="dxa"/>
            <w:vAlign w:val="center"/>
            <w:textDirection w:val="lrTb"/>
            <w:noWrap w:val="false"/>
          </w:tcPr>
          <w:p>
            <w:pPr>
              <w:pStyle w:val="873"/>
              <w:jc w:val="center"/>
              <w:widowControl/>
              <w:rPr>
                <w:rFonts w:ascii="宋体" w:hAnsi="宋体" w:cs="宋体"/>
                <w:color w:val="auto"/>
                <w:spacing w:val="-2"/>
                <w:highlight w:val="none"/>
              </w:rPr>
            </w:pPr>
            <w:r>
              <w:rPr>
                <w:rFonts w:hint="eastAsia"/>
                <w:color w:val="auto"/>
                <w:highlight w:val="none"/>
                <w:lang w:bidi="ar"/>
              </w:rPr>
              <w:t xml:space="preserve">项目的认识、服务定位、总体目标及整体设想</w:t>
            </w:r>
            <w:r>
              <w:rPr>
                <w:color w:val="auto"/>
                <w:highlight w:val="none"/>
              </w:rPr>
            </w:r>
            <w:r/>
          </w:p>
        </w:tc>
        <w:tc>
          <w:tcPr>
            <w:tcW w:w="6624" w:type="dxa"/>
            <w:vAlign w:val="center"/>
            <w:textDirection w:val="lrTb"/>
            <w:noWrap w:val="false"/>
          </w:tcPr>
          <w:p>
            <w:pPr>
              <w:pStyle w:val="873"/>
              <w:widowControl/>
              <w:rPr>
                <w:color w:val="auto"/>
                <w:highlight w:val="none"/>
              </w:rPr>
            </w:pPr>
            <w:r>
              <w:rPr>
                <w:rFonts w:hint="eastAsia"/>
                <w:color w:val="auto"/>
                <w:highlight w:val="none"/>
                <w:lang w:bidi="ar"/>
              </w:rPr>
              <w:t xml:space="preserve">根据投标人对项目的认识、服务定位、总体目标、整体设想以及针对六合经济开发区目前园林绿化现状如何提高养护质效的方案评分：</w:t>
            </w:r>
            <w:r>
              <w:rPr>
                <w:color w:val="auto"/>
                <w:highlight w:val="none"/>
              </w:rPr>
            </w:r>
            <w:r/>
          </w:p>
          <w:p>
            <w:pPr>
              <w:pStyle w:val="873"/>
              <w:widowControl/>
              <w:rPr>
                <w:color w:val="auto"/>
                <w:highlight w:val="none"/>
              </w:rPr>
            </w:pPr>
            <w:r>
              <w:rPr>
                <w:rFonts w:hint="eastAsia"/>
                <w:color w:val="auto"/>
                <w:highlight w:val="none"/>
                <w:lang w:bidi="ar"/>
              </w:rPr>
              <w:t xml:space="preserve">（a）服务设想全面,服务标准高，定位明确，针对性强，总体目标清晰明确，对本项目的重点、难点等方面,有新思路,养护考核排名进位方案可操作性强的，得</w:t>
            </w:r>
            <w:r>
              <w:rPr>
                <w:rFonts w:hint="eastAsia"/>
                <w:color w:val="auto"/>
                <w:highlight w:val="none"/>
                <w:lang w:val="en-US" w:eastAsia="zh-CN" w:bidi="ar"/>
              </w:rPr>
              <w:t xml:space="preserve">3</w:t>
            </w:r>
            <w:r>
              <w:rPr>
                <w:rFonts w:hint="eastAsia"/>
                <w:color w:val="auto"/>
                <w:highlight w:val="none"/>
                <w:lang w:bidi="ar"/>
              </w:rPr>
              <w:t xml:space="preserve">分。</w:t>
            </w:r>
            <w:r>
              <w:rPr>
                <w:color w:val="auto"/>
                <w:highlight w:val="none"/>
              </w:rPr>
            </w:r>
            <w:r/>
          </w:p>
          <w:p>
            <w:pPr>
              <w:pStyle w:val="873"/>
              <w:widowControl/>
              <w:rPr>
                <w:color w:val="auto"/>
                <w:highlight w:val="none"/>
              </w:rPr>
            </w:pPr>
            <w:r>
              <w:rPr>
                <w:rFonts w:hint="eastAsia"/>
                <w:color w:val="auto"/>
                <w:highlight w:val="none"/>
                <w:lang w:bidi="ar"/>
              </w:rPr>
              <w:t xml:space="preserve">（b）服务设想</w:t>
            </w:r>
            <w:r>
              <w:rPr>
                <w:rFonts w:hint="eastAsia"/>
                <w:color w:val="auto"/>
                <w:highlight w:val="none"/>
                <w:lang w:eastAsia="zh-CN" w:bidi="ar"/>
              </w:rPr>
              <w:t xml:space="preserve">较好</w:t>
            </w:r>
            <w:r>
              <w:rPr>
                <w:rFonts w:hint="eastAsia"/>
                <w:color w:val="auto"/>
                <w:highlight w:val="none"/>
                <w:lang w:bidi="ar"/>
              </w:rPr>
              <w:t xml:space="preserve">响应了招标的要求。定位</w:t>
            </w:r>
            <w:r>
              <w:rPr>
                <w:rFonts w:hint="eastAsia"/>
                <w:color w:val="auto"/>
                <w:highlight w:val="none"/>
                <w:lang w:eastAsia="zh-CN" w:bidi="ar"/>
              </w:rPr>
              <w:t xml:space="preserve">较为</w:t>
            </w:r>
            <w:r>
              <w:rPr>
                <w:rFonts w:hint="eastAsia"/>
                <w:color w:val="auto"/>
                <w:highlight w:val="none"/>
                <w:lang w:bidi="ar"/>
              </w:rPr>
              <w:t xml:space="preserve">明确，针对性</w:t>
            </w:r>
            <w:r>
              <w:rPr>
                <w:rFonts w:hint="eastAsia"/>
                <w:color w:val="auto"/>
                <w:highlight w:val="none"/>
                <w:lang w:eastAsia="zh-CN" w:bidi="ar"/>
              </w:rPr>
              <w:t xml:space="preserve">较强</w:t>
            </w:r>
            <w:r>
              <w:rPr>
                <w:rFonts w:hint="eastAsia"/>
                <w:color w:val="auto"/>
                <w:highlight w:val="none"/>
                <w:lang w:bidi="ar"/>
              </w:rPr>
              <w:t xml:space="preserve">，总体目标较为清晰的，养护考核排名进位方案可操作性</w:t>
            </w:r>
            <w:r>
              <w:rPr>
                <w:rFonts w:hint="eastAsia"/>
                <w:color w:val="auto"/>
                <w:highlight w:val="none"/>
                <w:lang w:eastAsia="zh-CN" w:bidi="ar"/>
              </w:rPr>
              <w:t xml:space="preserve">较强</w:t>
            </w:r>
            <w:r>
              <w:rPr>
                <w:rFonts w:hint="eastAsia"/>
                <w:color w:val="auto"/>
                <w:highlight w:val="none"/>
                <w:lang w:bidi="ar"/>
              </w:rPr>
              <w:t xml:space="preserve">的，得</w:t>
            </w:r>
            <w:r>
              <w:rPr>
                <w:color w:val="auto"/>
                <w:highlight w:val="none"/>
                <w:lang w:val="en-US" w:eastAsia="zh-CN" w:bidi="ar"/>
              </w:rPr>
              <w:t xml:space="preserve">2</w:t>
            </w:r>
            <w:r>
              <w:rPr>
                <w:rFonts w:hint="eastAsia"/>
                <w:color w:val="auto"/>
                <w:highlight w:val="none"/>
                <w:lang w:bidi="ar"/>
              </w:rPr>
              <w:t xml:space="preserve">分。</w:t>
            </w:r>
            <w:r>
              <w:rPr>
                <w:color w:val="auto"/>
                <w:highlight w:val="none"/>
              </w:rPr>
            </w:r>
            <w:r/>
          </w:p>
          <w:p>
            <w:pPr>
              <w:pStyle w:val="873"/>
              <w:widowControl/>
              <w:rPr>
                <w:color w:val="auto"/>
                <w:highlight w:val="none"/>
              </w:rPr>
            </w:pPr>
            <w:r>
              <w:rPr>
                <w:rFonts w:hint="eastAsia"/>
                <w:color w:val="auto"/>
                <w:highlight w:val="none"/>
                <w:lang w:bidi="ar"/>
              </w:rPr>
              <w:t xml:space="preserve">（c）服务设想基本响应了招标要求。有一定的服务定位，针对性一般，有总体目标，养护考核排名进位方案可操作性一般的，得</w:t>
            </w:r>
            <w:r>
              <w:rPr>
                <w:rFonts w:hint="eastAsia"/>
                <w:color w:val="auto"/>
                <w:highlight w:val="none"/>
                <w:lang w:val="en-US" w:eastAsia="zh-CN" w:bidi="ar"/>
              </w:rPr>
              <w:t xml:space="preserve">1</w:t>
            </w:r>
            <w:r>
              <w:rPr>
                <w:rFonts w:hint="eastAsia"/>
                <w:color w:val="auto"/>
                <w:highlight w:val="none"/>
                <w:lang w:bidi="ar"/>
              </w:rPr>
              <w:t xml:space="preserve">分。</w:t>
            </w:r>
            <w:r>
              <w:rPr>
                <w:color w:val="auto"/>
                <w:highlight w:val="none"/>
              </w:rPr>
            </w:r>
            <w:r/>
          </w:p>
          <w:p>
            <w:pPr>
              <w:pStyle w:val="873"/>
              <w:widowControl/>
              <w:rPr>
                <w:rFonts w:hint="eastAsia" w:ascii="宋体" w:hAnsi="宋体" w:eastAsia="宋体" w:cs="宋体"/>
                <w:color w:val="auto"/>
                <w:spacing w:val="1"/>
                <w:highlight w:val="none"/>
              </w:rPr>
            </w:pPr>
            <w:r>
              <w:rPr>
                <w:rFonts w:hint="eastAsia"/>
                <w:color w:val="auto"/>
                <w:highlight w:val="none"/>
                <w:lang w:bidi="ar"/>
              </w:rPr>
              <w:t xml:space="preserve">（</w:t>
            </w:r>
            <w:r>
              <w:rPr>
                <w:rFonts w:hint="eastAsia"/>
                <w:color w:val="auto"/>
                <w:highlight w:val="none"/>
                <w:lang w:val="en-US" w:eastAsia="zh-CN" w:bidi="ar"/>
              </w:rPr>
              <w:t xml:space="preserve">d</w:t>
            </w:r>
            <w:r>
              <w:rPr>
                <w:rFonts w:hint="eastAsia"/>
                <w:color w:val="auto"/>
                <w:highlight w:val="none"/>
                <w:lang w:bidi="ar"/>
              </w:rPr>
              <w:t xml:space="preserve">）</w:t>
            </w:r>
            <w:r>
              <w:rPr>
                <w:rFonts w:hint="eastAsia"/>
                <w:color w:val="auto"/>
                <w:highlight w:val="none"/>
                <w:lang w:eastAsia="zh-CN" w:bidi="ar"/>
              </w:rPr>
              <w:t xml:space="preserve">不贴合实际的或未提供的</w:t>
            </w:r>
            <w:r>
              <w:rPr>
                <w:rFonts w:hint="eastAsia"/>
                <w:color w:val="auto"/>
                <w:highlight w:val="none"/>
                <w:lang w:bidi="ar"/>
              </w:rPr>
              <w:t xml:space="preserve">，不得分</w:t>
            </w:r>
            <w:r>
              <w:rPr>
                <w:rFonts w:hint="eastAsia"/>
                <w:color w:val="auto"/>
                <w:highlight w:val="none"/>
                <w:lang w:bidi="ar"/>
              </w:rPr>
              <w:t xml:space="preserve">。</w:t>
            </w:r>
            <w:r>
              <w:rPr>
                <w:color w:val="auto"/>
                <w:highlight w:val="none"/>
              </w:rPr>
            </w:r>
            <w:r/>
          </w:p>
        </w:tc>
        <w:tc>
          <w:tcPr>
            <w:tcW w:w="571" w:type="dxa"/>
            <w:vAlign w:val="center"/>
            <w:textDirection w:val="lrTb"/>
            <w:noWrap w:val="false"/>
          </w:tcPr>
          <w:p>
            <w:pPr>
              <w:pStyle w:val="873"/>
              <w:jc w:val="center"/>
              <w:widowControl/>
              <w:rPr>
                <w:rFonts w:hint="eastAsia" w:ascii="宋体" w:hAnsi="宋体" w:cs="宋体"/>
                <w:color w:val="auto"/>
                <w:highlight w:val="none"/>
              </w:rPr>
            </w:pPr>
            <w:r>
              <w:rPr>
                <w:rFonts w:hint="eastAsia"/>
                <w:color w:val="auto"/>
                <w:highlight w:val="none"/>
                <w:lang w:val="en-US" w:eastAsia="zh-CN" w:bidi="ar"/>
              </w:rPr>
              <w:t xml:space="preserve">3</w:t>
            </w:r>
            <w:r>
              <w:rPr>
                <w:color w:val="auto"/>
                <w:highlight w:val="none"/>
              </w:rPr>
            </w:r>
            <w:r/>
          </w:p>
        </w:tc>
        <w:tc>
          <w:tcPr>
            <w:tcW w:w="863" w:type="dxa"/>
            <w:vAlign w:val="center"/>
            <w:textDirection w:val="lrTb"/>
            <w:noWrap w:val="false"/>
          </w:tcPr>
          <w:p>
            <w:pPr>
              <w:pStyle w:val="873"/>
              <w:jc w:val="center"/>
              <w:widowControl/>
              <w:rPr>
                <w:rFonts w:hint="eastAsia" w:ascii="宋体" w:hAnsi="宋体" w:cs="宋体"/>
                <w:color w:val="auto"/>
                <w:highlight w:val="none"/>
              </w:rPr>
            </w:pPr>
            <w:r>
              <w:rPr>
                <w:rFonts w:hint="eastAsia"/>
                <w:color w:val="auto"/>
                <w:highlight w:val="none"/>
                <w:lang w:bidi="ar"/>
              </w:rPr>
              <w:t xml:space="preserve">主观分</w:t>
            </w:r>
            <w:r>
              <w:rPr>
                <w:color w:val="auto"/>
                <w:highlight w:val="none"/>
              </w:rPr>
            </w:r>
            <w:r/>
          </w:p>
        </w:tc>
      </w:tr>
      <w:tr>
        <w:trPr>
          <w:trHeight w:val="893"/>
        </w:trPr>
        <w:tc>
          <w:tcPr>
            <w:gridSpan w:val="2"/>
            <w:tcW w:w="519" w:type="dxa"/>
            <w:vAlign w:val="center"/>
            <w:textDirection w:val="lrTb"/>
            <w:noWrap w:val="false"/>
          </w:tcPr>
          <w:p>
            <w:pPr>
              <w:pStyle w:val="873"/>
              <w:widowControl/>
              <w:rPr>
                <w:rFonts w:ascii="宋体" w:hAnsi="宋体" w:cs="宋体"/>
                <w:color w:val="auto"/>
                <w:spacing w:val="-2"/>
                <w:highlight w:val="none"/>
              </w:rPr>
            </w:pPr>
            <w:r>
              <w:rPr>
                <w:rFonts w:hint="eastAsia"/>
                <w:color w:val="auto"/>
                <w:highlight w:val="none"/>
                <w:lang w:bidi="ar"/>
              </w:rPr>
              <w:t xml:space="preserve">2.2</w:t>
            </w:r>
            <w:r>
              <w:rPr>
                <w:color w:val="auto"/>
                <w:highlight w:val="none"/>
              </w:rPr>
            </w:r>
            <w:r/>
          </w:p>
        </w:tc>
        <w:tc>
          <w:tcPr>
            <w:tcW w:w="1180" w:type="dxa"/>
            <w:vAlign w:val="center"/>
            <w:textDirection w:val="lrTb"/>
            <w:noWrap w:val="false"/>
          </w:tcPr>
          <w:p>
            <w:pPr>
              <w:pStyle w:val="873"/>
              <w:jc w:val="center"/>
              <w:widowControl/>
              <w:rPr>
                <w:rFonts w:ascii="宋体" w:hAnsi="宋体" w:eastAsia="宋体" w:cs="宋体"/>
                <w:color w:val="auto"/>
                <w:spacing w:val="-2"/>
                <w:highlight w:val="none"/>
              </w:rPr>
            </w:pPr>
            <w:r>
              <w:rPr>
                <w:rFonts w:hint="eastAsia"/>
                <w:color w:val="auto"/>
                <w:highlight w:val="none"/>
                <w:lang w:bidi="ar"/>
              </w:rPr>
              <w:t xml:space="preserve">绿化养护方案、公共绿地保洁方案、绿化养护服务档案资料管理</w:t>
            </w:r>
            <w:r>
              <w:rPr>
                <w:color w:val="auto"/>
                <w:highlight w:val="none"/>
              </w:rPr>
            </w:r>
            <w:r/>
          </w:p>
        </w:tc>
        <w:tc>
          <w:tcPr>
            <w:tcW w:w="6624" w:type="dxa"/>
            <w:vAlign w:val="center"/>
            <w:textDirection w:val="lrTb"/>
            <w:noWrap w:val="false"/>
          </w:tcPr>
          <w:p>
            <w:pPr>
              <w:pStyle w:val="873"/>
              <w:widowControl/>
              <w:rPr>
                <w:color w:val="auto"/>
                <w:highlight w:val="none"/>
              </w:rPr>
            </w:pPr>
            <w:r>
              <w:rPr>
                <w:rFonts w:hint="eastAsia"/>
                <w:color w:val="auto"/>
                <w:highlight w:val="none"/>
                <w:lang w:bidi="ar"/>
              </w:rPr>
              <w:t xml:space="preserve">根据投标人的绿化养护方案（包含道路绿地养护、公园绿地养护、边角绿地养护、河道景观带养护、硬质景观维护、养护巡查、养护对接和移交办理）、公共绿地保洁方案、绿化养护服务档案资料管理评分：</w:t>
            </w:r>
            <w:r>
              <w:rPr>
                <w:color w:val="auto"/>
                <w:highlight w:val="none"/>
              </w:rPr>
            </w:r>
            <w:r/>
          </w:p>
          <w:p>
            <w:pPr>
              <w:pStyle w:val="873"/>
              <w:widowControl/>
              <w:rPr>
                <w:color w:val="auto"/>
                <w:highlight w:val="none"/>
              </w:rPr>
            </w:pPr>
            <w:r>
              <w:rPr>
                <w:rFonts w:hint="eastAsia"/>
                <w:color w:val="auto"/>
                <w:highlight w:val="none"/>
                <w:lang w:bidi="ar"/>
              </w:rPr>
              <w:t xml:space="preserve">（a）养护技术方案能结合开发区地段条件和季节变化针对各自特点进行养护,养护方案、保洁方案、档案资料管理方案全面合理，质量标准具体明确，可操作性很强的，得</w:t>
            </w:r>
            <w:r>
              <w:rPr>
                <w:rFonts w:hint="eastAsia"/>
                <w:color w:val="auto"/>
                <w:highlight w:val="none"/>
                <w:lang w:val="en-US" w:eastAsia="zh-CN" w:bidi="ar"/>
              </w:rPr>
              <w:t xml:space="preserve">3</w:t>
            </w:r>
            <w:r>
              <w:rPr>
                <w:rFonts w:hint="eastAsia"/>
                <w:color w:val="auto"/>
                <w:highlight w:val="none"/>
                <w:lang w:bidi="ar"/>
              </w:rPr>
              <w:t xml:space="preserve">分。</w:t>
            </w:r>
            <w:r>
              <w:rPr>
                <w:color w:val="auto"/>
                <w:highlight w:val="none"/>
              </w:rPr>
            </w:r>
            <w:r/>
          </w:p>
          <w:p>
            <w:pPr>
              <w:pStyle w:val="873"/>
              <w:widowControl/>
              <w:rPr>
                <w:color w:val="auto"/>
                <w:highlight w:val="none"/>
              </w:rPr>
            </w:pPr>
            <w:r>
              <w:rPr>
                <w:rFonts w:hint="eastAsia"/>
                <w:color w:val="auto"/>
                <w:highlight w:val="none"/>
                <w:lang w:bidi="ar"/>
              </w:rPr>
              <w:t xml:space="preserve">（b）养护技术方案基本能结合开发区地段条件和季节变化针对各自特点进行养护，养护方案、保洁方案、档案资料管理方案较为合理，质量标准较为合理，可操作性</w:t>
            </w:r>
            <w:r>
              <w:rPr>
                <w:rFonts w:hint="eastAsia"/>
                <w:color w:val="auto"/>
                <w:highlight w:val="none"/>
                <w:lang w:eastAsia="zh-CN" w:bidi="ar"/>
              </w:rPr>
              <w:t xml:space="preserve">较强</w:t>
            </w:r>
            <w:r>
              <w:rPr>
                <w:rFonts w:hint="eastAsia"/>
                <w:color w:val="auto"/>
                <w:highlight w:val="none"/>
                <w:lang w:bidi="ar"/>
              </w:rPr>
              <w:t xml:space="preserve">的，得</w:t>
            </w:r>
            <w:r>
              <w:rPr>
                <w:rFonts w:hint="eastAsia"/>
                <w:color w:val="auto"/>
                <w:highlight w:val="none"/>
                <w:lang w:val="en-US" w:eastAsia="zh-CN" w:bidi="ar"/>
              </w:rPr>
              <w:t xml:space="preserve">2</w:t>
            </w:r>
            <w:r>
              <w:rPr>
                <w:rFonts w:hint="eastAsia"/>
                <w:color w:val="auto"/>
                <w:highlight w:val="none"/>
                <w:lang w:bidi="ar"/>
              </w:rPr>
              <w:t xml:space="preserve">分。</w:t>
            </w:r>
            <w:r>
              <w:rPr>
                <w:color w:val="auto"/>
                <w:highlight w:val="none"/>
              </w:rPr>
            </w:r>
            <w:r/>
          </w:p>
          <w:p>
            <w:pPr>
              <w:pStyle w:val="873"/>
              <w:widowControl/>
              <w:rPr>
                <w:color w:val="auto"/>
                <w:highlight w:val="none"/>
              </w:rPr>
            </w:pPr>
            <w:r>
              <w:rPr>
                <w:rFonts w:hint="eastAsia"/>
                <w:color w:val="auto"/>
                <w:highlight w:val="none"/>
                <w:lang w:bidi="ar"/>
              </w:rPr>
              <w:t xml:space="preserve">（c）养护技术方案较为简单，养护方案、保洁方案、档案资料管理方案基本全面，质量标准</w:t>
            </w:r>
            <w:r>
              <w:rPr>
                <w:rFonts w:hint="eastAsia"/>
                <w:color w:val="auto"/>
                <w:highlight w:val="none"/>
                <w:lang w:eastAsia="zh-CN" w:bidi="ar"/>
              </w:rPr>
              <w:t xml:space="preserve">一般</w:t>
            </w:r>
            <w:r>
              <w:rPr>
                <w:rFonts w:hint="eastAsia"/>
                <w:color w:val="auto"/>
                <w:highlight w:val="none"/>
                <w:lang w:bidi="ar"/>
              </w:rPr>
              <w:t xml:space="preserve">，有一定可操作性的，得</w:t>
            </w:r>
            <w:r>
              <w:rPr>
                <w:rFonts w:hint="eastAsia"/>
                <w:color w:val="auto"/>
                <w:highlight w:val="none"/>
                <w:lang w:val="en-US" w:eastAsia="zh-CN" w:bidi="ar"/>
              </w:rPr>
              <w:t xml:space="preserve">1</w:t>
            </w:r>
            <w:r>
              <w:rPr>
                <w:rFonts w:hint="eastAsia"/>
                <w:color w:val="auto"/>
                <w:highlight w:val="none"/>
                <w:lang w:bidi="ar"/>
              </w:rPr>
              <w:t xml:space="preserve">分。</w:t>
            </w:r>
            <w:r>
              <w:rPr>
                <w:color w:val="auto"/>
                <w:highlight w:val="none"/>
              </w:rPr>
            </w:r>
            <w:r/>
          </w:p>
          <w:p>
            <w:pPr>
              <w:pStyle w:val="873"/>
              <w:widowControl/>
              <w:rPr>
                <w:rFonts w:ascii="宋体" w:hAnsi="宋体" w:cs="宋体"/>
                <w:color w:val="auto"/>
                <w:spacing w:val="1"/>
                <w:highlight w:val="none"/>
              </w:rPr>
            </w:pPr>
            <w:r>
              <w:rPr>
                <w:rFonts w:hint="eastAsia"/>
                <w:color w:val="auto"/>
                <w:highlight w:val="none"/>
                <w:lang w:bidi="ar"/>
              </w:rPr>
              <w:t xml:space="preserve">（d）方案有重大缺失，质量标准</w:t>
            </w:r>
            <w:r>
              <w:rPr>
                <w:rFonts w:hint="eastAsia"/>
                <w:color w:val="auto"/>
                <w:highlight w:val="none"/>
                <w:lang w:val="en-US" w:eastAsia="zh-CN" w:bidi="ar"/>
              </w:rPr>
              <w:t xml:space="preserve">不符合要求</w:t>
            </w:r>
            <w:r>
              <w:rPr>
                <w:rFonts w:hint="eastAsia"/>
                <w:color w:val="auto"/>
                <w:highlight w:val="none"/>
                <w:lang w:bidi="ar"/>
              </w:rPr>
              <w:t xml:space="preserve">或未提供的，不得分。</w:t>
            </w:r>
            <w:r>
              <w:rPr>
                <w:color w:val="auto"/>
                <w:highlight w:val="none"/>
              </w:rPr>
            </w:r>
            <w:r/>
          </w:p>
        </w:tc>
        <w:tc>
          <w:tcPr>
            <w:tcW w:w="571" w:type="dxa"/>
            <w:vAlign w:val="center"/>
            <w:textDirection w:val="lrTb"/>
            <w:noWrap w:val="false"/>
          </w:tcPr>
          <w:p>
            <w:pPr>
              <w:pStyle w:val="873"/>
              <w:jc w:val="center"/>
              <w:widowControl/>
              <w:rPr>
                <w:rFonts w:ascii="宋体" w:hAnsi="宋体" w:cs="宋体"/>
                <w:color w:val="auto"/>
                <w:highlight w:val="none"/>
              </w:rPr>
            </w:pPr>
            <w:r>
              <w:rPr>
                <w:rFonts w:hint="eastAsia"/>
                <w:color w:val="auto"/>
                <w:highlight w:val="none"/>
                <w:lang w:val="en-US" w:eastAsia="zh-CN" w:bidi="ar"/>
              </w:rPr>
              <w:t xml:space="preserve">3</w:t>
            </w:r>
            <w:r>
              <w:rPr>
                <w:color w:val="auto"/>
                <w:highlight w:val="none"/>
              </w:rPr>
            </w:r>
            <w:r/>
          </w:p>
        </w:tc>
        <w:tc>
          <w:tcPr>
            <w:tcW w:w="863" w:type="dxa"/>
            <w:vAlign w:val="center"/>
            <w:textDirection w:val="lrTb"/>
            <w:noWrap w:val="false"/>
          </w:tcPr>
          <w:p>
            <w:pPr>
              <w:pStyle w:val="873"/>
              <w:jc w:val="center"/>
              <w:widowControl/>
              <w:rPr>
                <w:rFonts w:ascii="宋体" w:hAnsi="宋体" w:cs="宋体"/>
                <w:color w:val="auto"/>
                <w:highlight w:val="none"/>
              </w:rPr>
            </w:pPr>
            <w:r>
              <w:rPr>
                <w:rFonts w:hint="eastAsia"/>
                <w:color w:val="auto"/>
                <w:highlight w:val="none"/>
                <w:lang w:bidi="ar"/>
              </w:rPr>
              <w:t xml:space="preserve">主观分</w:t>
            </w:r>
            <w:r>
              <w:rPr>
                <w:color w:val="auto"/>
                <w:highlight w:val="none"/>
              </w:rPr>
            </w:r>
            <w:r/>
          </w:p>
        </w:tc>
      </w:tr>
      <w:tr>
        <w:trPr>
          <w:trHeight w:val="830"/>
        </w:trPr>
        <w:tc>
          <w:tcPr>
            <w:gridSpan w:val="2"/>
            <w:tcW w:w="519" w:type="dxa"/>
            <w:vAlign w:val="center"/>
            <w:textDirection w:val="lrTb"/>
            <w:noWrap w:val="false"/>
          </w:tcPr>
          <w:p>
            <w:pPr>
              <w:pStyle w:val="873"/>
              <w:widowControl/>
              <w:rPr>
                <w:rFonts w:ascii="宋体" w:hAnsi="宋体" w:cs="宋体"/>
                <w:color w:val="auto"/>
                <w:spacing w:val="-2"/>
                <w:highlight w:val="none"/>
              </w:rPr>
            </w:pPr>
            <w:r>
              <w:rPr>
                <w:rFonts w:hint="eastAsia"/>
                <w:color w:val="auto"/>
                <w:highlight w:val="none"/>
                <w:lang w:bidi="ar"/>
              </w:rPr>
              <w:t xml:space="preserve">2.3</w:t>
            </w:r>
            <w:r>
              <w:rPr>
                <w:color w:val="auto"/>
                <w:highlight w:val="none"/>
              </w:rPr>
            </w:r>
            <w:r/>
          </w:p>
        </w:tc>
        <w:tc>
          <w:tcPr>
            <w:tcW w:w="1180" w:type="dxa"/>
            <w:vAlign w:val="center"/>
            <w:textDirection w:val="lrTb"/>
            <w:noWrap w:val="false"/>
          </w:tcPr>
          <w:p>
            <w:pPr>
              <w:pStyle w:val="873"/>
              <w:jc w:val="center"/>
              <w:widowControl/>
              <w:rPr>
                <w:rFonts w:ascii="宋体" w:hAnsi="宋体" w:cs="宋体"/>
                <w:color w:val="auto"/>
                <w:spacing w:val="-2"/>
                <w:highlight w:val="none"/>
              </w:rPr>
            </w:pPr>
            <w:r>
              <w:rPr>
                <w:rFonts w:hint="eastAsia"/>
                <w:color w:val="auto"/>
                <w:highlight w:val="none"/>
                <w:lang w:bidi="ar"/>
              </w:rPr>
              <w:t xml:space="preserve">项目管理制度、员工考核方案、投标报价合理性</w:t>
            </w:r>
            <w:r>
              <w:rPr>
                <w:color w:val="auto"/>
                <w:highlight w:val="none"/>
              </w:rPr>
            </w:r>
            <w:r/>
          </w:p>
        </w:tc>
        <w:tc>
          <w:tcPr>
            <w:tcW w:w="6624" w:type="dxa"/>
            <w:vAlign w:val="center"/>
            <w:textDirection w:val="lrTb"/>
            <w:noWrap w:val="false"/>
          </w:tcPr>
          <w:p>
            <w:pPr>
              <w:pStyle w:val="873"/>
              <w:widowControl/>
              <w:rPr>
                <w:color w:val="auto"/>
                <w:highlight w:val="none"/>
              </w:rPr>
            </w:pPr>
            <w:r>
              <w:rPr>
                <w:rFonts w:hint="eastAsia"/>
                <w:color w:val="auto"/>
                <w:highlight w:val="none"/>
                <w:lang w:bidi="ar"/>
              </w:rPr>
              <w:t xml:space="preserve">根据投标人针对本项目所制定的员工考核管理办法、内部管理制度以及组织架构是否科学、合理，是否能保证管理落实到位等酌情评分（包括投标报价组成分析清晰，组织管理体系完善，项目管理事项明确，项目管理人员“例如项目经理、项目技术负责人等”配备具体清晰，各岗位分工明确。</w:t>
            </w:r>
            <w:r>
              <w:rPr>
                <w:color w:val="auto"/>
                <w:highlight w:val="none"/>
              </w:rPr>
            </w:r>
            <w:r/>
          </w:p>
          <w:p>
            <w:pPr>
              <w:pStyle w:val="873"/>
              <w:widowControl/>
              <w:rPr>
                <w:color w:val="auto"/>
                <w:highlight w:val="none"/>
              </w:rPr>
            </w:pPr>
            <w:r>
              <w:rPr>
                <w:rFonts w:hint="eastAsia"/>
                <w:color w:val="auto"/>
                <w:highlight w:val="none"/>
                <w:lang w:bidi="ar"/>
              </w:rPr>
              <w:t xml:space="preserve">（a）方案、制度科学合理健全，内容完善，投标报价全面、科学合理的，得</w:t>
            </w:r>
            <w:r>
              <w:rPr>
                <w:rFonts w:hint="eastAsia"/>
                <w:color w:val="auto"/>
                <w:highlight w:val="none"/>
                <w:lang w:val="en-US" w:eastAsia="zh-CN" w:bidi="ar"/>
              </w:rPr>
              <w:t xml:space="preserve">3</w:t>
            </w:r>
            <w:r>
              <w:rPr>
                <w:rFonts w:hint="eastAsia"/>
                <w:color w:val="auto"/>
                <w:highlight w:val="none"/>
                <w:lang w:bidi="ar"/>
              </w:rPr>
              <w:t xml:space="preserve">分；</w:t>
            </w:r>
            <w:r>
              <w:rPr>
                <w:color w:val="auto"/>
                <w:highlight w:val="none"/>
              </w:rPr>
            </w:r>
            <w:r/>
          </w:p>
          <w:p>
            <w:pPr>
              <w:pStyle w:val="873"/>
              <w:widowControl/>
              <w:rPr>
                <w:color w:val="auto"/>
                <w:highlight w:val="none"/>
              </w:rPr>
            </w:pPr>
            <w:r>
              <w:rPr>
                <w:rFonts w:hint="eastAsia"/>
                <w:color w:val="auto"/>
                <w:highlight w:val="none"/>
                <w:lang w:bidi="ar"/>
              </w:rPr>
              <w:t xml:space="preserve">（b）方案、制度基本健全，投标报价内容相对合理的，得</w:t>
            </w:r>
            <w:r>
              <w:rPr>
                <w:rFonts w:hint="eastAsia"/>
                <w:color w:val="auto"/>
                <w:highlight w:val="none"/>
                <w:lang w:val="en-US" w:eastAsia="zh-CN" w:bidi="ar"/>
              </w:rPr>
              <w:t xml:space="preserve">2</w:t>
            </w:r>
            <w:r>
              <w:rPr>
                <w:rFonts w:hint="eastAsia"/>
                <w:color w:val="auto"/>
                <w:highlight w:val="none"/>
                <w:lang w:bidi="ar"/>
              </w:rPr>
              <w:t xml:space="preserve">分；</w:t>
            </w:r>
            <w:r>
              <w:rPr>
                <w:color w:val="auto"/>
                <w:highlight w:val="none"/>
              </w:rPr>
            </w:r>
            <w:r/>
          </w:p>
          <w:p>
            <w:pPr>
              <w:pStyle w:val="873"/>
              <w:widowControl/>
              <w:rPr>
                <w:color w:val="auto"/>
                <w:highlight w:val="none"/>
              </w:rPr>
            </w:pPr>
            <w:r>
              <w:rPr>
                <w:rFonts w:hint="eastAsia"/>
                <w:color w:val="auto"/>
                <w:highlight w:val="none"/>
                <w:lang w:bidi="ar"/>
              </w:rPr>
              <w:t xml:space="preserve">（c）方案、制度简单，投标报价内容简单的，得</w:t>
            </w:r>
            <w:r>
              <w:rPr>
                <w:rFonts w:hint="eastAsia"/>
                <w:color w:val="auto"/>
                <w:highlight w:val="none"/>
                <w:lang w:val="en-US" w:eastAsia="zh-CN" w:bidi="ar"/>
              </w:rPr>
              <w:t xml:space="preserve">1</w:t>
            </w:r>
            <w:r>
              <w:rPr>
                <w:rFonts w:hint="eastAsia"/>
                <w:color w:val="auto"/>
                <w:highlight w:val="none"/>
                <w:lang w:bidi="ar"/>
              </w:rPr>
              <w:t xml:space="preserve">分；</w:t>
            </w:r>
            <w:r>
              <w:rPr>
                <w:color w:val="auto"/>
                <w:highlight w:val="none"/>
              </w:rPr>
            </w:r>
            <w:r/>
          </w:p>
          <w:p>
            <w:pPr>
              <w:pStyle w:val="873"/>
              <w:widowControl/>
              <w:rPr>
                <w:rFonts w:ascii="宋体" w:hAnsi="宋体" w:cs="宋体"/>
                <w:color w:val="auto"/>
                <w:spacing w:val="1"/>
                <w:highlight w:val="none"/>
              </w:rPr>
            </w:pPr>
            <w:r>
              <w:rPr>
                <w:rFonts w:hint="eastAsia"/>
                <w:color w:val="auto"/>
                <w:highlight w:val="none"/>
                <w:lang w:bidi="ar"/>
              </w:rPr>
              <w:t xml:space="preserve">（d）未提供的，不得分。</w:t>
            </w:r>
            <w:r>
              <w:rPr>
                <w:color w:val="auto"/>
                <w:highlight w:val="none"/>
              </w:rPr>
            </w:r>
            <w:r/>
          </w:p>
        </w:tc>
        <w:tc>
          <w:tcPr>
            <w:tcW w:w="571" w:type="dxa"/>
            <w:vAlign w:val="center"/>
            <w:textDirection w:val="lrTb"/>
            <w:noWrap w:val="false"/>
          </w:tcPr>
          <w:p>
            <w:pPr>
              <w:pStyle w:val="873"/>
              <w:jc w:val="center"/>
              <w:widowControl/>
              <w:rPr>
                <w:rFonts w:ascii="宋体" w:hAnsi="宋体" w:cs="宋体"/>
                <w:color w:val="auto"/>
                <w:highlight w:val="none"/>
              </w:rPr>
            </w:pPr>
            <w:r>
              <w:rPr>
                <w:rFonts w:hint="eastAsia"/>
                <w:color w:val="auto"/>
                <w:highlight w:val="none"/>
                <w:lang w:val="en-US" w:eastAsia="zh-CN" w:bidi="ar"/>
              </w:rPr>
              <w:t xml:space="preserve">3</w:t>
            </w:r>
            <w:r>
              <w:rPr>
                <w:color w:val="auto"/>
                <w:highlight w:val="none"/>
              </w:rPr>
            </w:r>
            <w:r/>
          </w:p>
        </w:tc>
        <w:tc>
          <w:tcPr>
            <w:tcW w:w="863" w:type="dxa"/>
            <w:vAlign w:val="center"/>
            <w:textDirection w:val="lrTb"/>
            <w:noWrap w:val="false"/>
          </w:tcPr>
          <w:p>
            <w:pPr>
              <w:pStyle w:val="873"/>
              <w:jc w:val="center"/>
              <w:widowControl/>
              <w:rPr>
                <w:rFonts w:ascii="宋体" w:hAnsi="宋体" w:cs="宋体"/>
                <w:color w:val="auto"/>
                <w:highlight w:val="none"/>
              </w:rPr>
            </w:pPr>
            <w:r>
              <w:rPr>
                <w:rFonts w:hint="eastAsia"/>
                <w:color w:val="auto"/>
                <w:highlight w:val="none"/>
                <w:lang w:bidi="ar"/>
              </w:rPr>
              <w:t xml:space="preserve">主观分</w:t>
            </w:r>
            <w:r>
              <w:rPr>
                <w:color w:val="auto"/>
                <w:highlight w:val="none"/>
              </w:rPr>
            </w:r>
            <w:r/>
          </w:p>
        </w:tc>
      </w:tr>
      <w:tr>
        <w:trPr>
          <w:trHeight w:val="873"/>
        </w:trPr>
        <w:tc>
          <w:tcPr>
            <w:gridSpan w:val="2"/>
            <w:tcW w:w="519" w:type="dxa"/>
            <w:vAlign w:val="center"/>
            <w:textDirection w:val="lrTb"/>
            <w:noWrap w:val="false"/>
          </w:tcPr>
          <w:p>
            <w:pPr>
              <w:pStyle w:val="873"/>
              <w:widowControl/>
              <w:rPr>
                <w:rFonts w:ascii="宋体" w:hAnsi="宋体" w:cs="宋体"/>
                <w:color w:val="auto"/>
                <w:spacing w:val="-2"/>
                <w:highlight w:val="none"/>
              </w:rPr>
            </w:pPr>
            <w:r>
              <w:rPr>
                <w:rFonts w:hint="eastAsia"/>
                <w:color w:val="auto"/>
                <w:highlight w:val="none"/>
                <w:lang w:bidi="ar"/>
              </w:rPr>
              <w:t xml:space="preserve">2.4</w:t>
            </w:r>
            <w:r>
              <w:rPr>
                <w:color w:val="auto"/>
                <w:highlight w:val="none"/>
              </w:rPr>
            </w:r>
            <w:r/>
          </w:p>
        </w:tc>
        <w:tc>
          <w:tcPr>
            <w:tcW w:w="1180" w:type="dxa"/>
            <w:vAlign w:val="center"/>
            <w:textDirection w:val="lrTb"/>
            <w:noWrap w:val="false"/>
          </w:tcPr>
          <w:p>
            <w:pPr>
              <w:pStyle w:val="873"/>
              <w:widowControl/>
              <w:rPr>
                <w:rFonts w:ascii="宋体" w:hAnsi="宋体" w:cs="宋体"/>
                <w:color w:val="auto"/>
                <w:highlight w:val="none"/>
              </w:rPr>
            </w:pPr>
            <w:r>
              <w:rPr>
                <w:rFonts w:hint="eastAsia"/>
                <w:color w:val="auto"/>
                <w:highlight w:val="none"/>
                <w:lang w:bidi="ar"/>
              </w:rPr>
              <w:t xml:space="preserve">重大活动保障措施</w:t>
            </w:r>
            <w:r>
              <w:rPr>
                <w:color w:val="auto"/>
                <w:highlight w:val="none"/>
              </w:rPr>
            </w:r>
            <w:r/>
          </w:p>
        </w:tc>
        <w:tc>
          <w:tcPr>
            <w:tcW w:w="6624" w:type="dxa"/>
            <w:vAlign w:val="center"/>
            <w:textDirection w:val="lrTb"/>
            <w:noWrap w:val="false"/>
          </w:tcPr>
          <w:p>
            <w:pPr>
              <w:pStyle w:val="873"/>
              <w:widowControl/>
              <w:rPr>
                <w:color w:val="auto"/>
                <w:highlight w:val="none"/>
              </w:rPr>
            </w:pPr>
            <w:r>
              <w:rPr>
                <w:rFonts w:hint="eastAsia"/>
                <w:color w:val="auto"/>
                <w:highlight w:val="none"/>
                <w:lang w:bidi="ar"/>
              </w:rPr>
              <w:t xml:space="preserve">根据投标人提供的突击保障任务、迎查工作、重大活动的措施方案评分：</w:t>
            </w:r>
            <w:r>
              <w:rPr>
                <w:color w:val="auto"/>
                <w:highlight w:val="none"/>
              </w:rPr>
            </w:r>
            <w:r/>
          </w:p>
          <w:p>
            <w:pPr>
              <w:pStyle w:val="873"/>
              <w:widowControl/>
              <w:rPr>
                <w:color w:val="auto"/>
                <w:highlight w:val="none"/>
              </w:rPr>
            </w:pPr>
            <w:r>
              <w:rPr>
                <w:rFonts w:hint="eastAsia"/>
                <w:color w:val="auto"/>
                <w:highlight w:val="none"/>
                <w:lang w:bidi="ar"/>
              </w:rPr>
              <w:t xml:space="preserve">（a）措施方案完备健全，针对性强，分工明确，具有可操作性的，得</w:t>
            </w:r>
            <w:r>
              <w:rPr>
                <w:rFonts w:hint="eastAsia"/>
                <w:color w:val="auto"/>
                <w:highlight w:val="none"/>
                <w:lang w:val="en-US" w:eastAsia="zh-CN" w:bidi="ar"/>
              </w:rPr>
              <w:t xml:space="preserve">3</w:t>
            </w:r>
            <w:r>
              <w:rPr>
                <w:rFonts w:hint="eastAsia"/>
                <w:color w:val="auto"/>
                <w:highlight w:val="none"/>
                <w:lang w:bidi="ar"/>
              </w:rPr>
              <w:t xml:space="preserve">分。</w:t>
            </w:r>
            <w:r>
              <w:rPr>
                <w:color w:val="auto"/>
                <w:highlight w:val="none"/>
              </w:rPr>
            </w:r>
            <w:r/>
          </w:p>
          <w:p>
            <w:pPr>
              <w:pStyle w:val="873"/>
              <w:widowControl/>
              <w:rPr>
                <w:color w:val="auto"/>
                <w:highlight w:val="none"/>
              </w:rPr>
            </w:pPr>
            <w:r>
              <w:rPr>
                <w:rFonts w:hint="eastAsia"/>
                <w:color w:val="auto"/>
                <w:highlight w:val="none"/>
                <w:lang w:bidi="ar"/>
              </w:rPr>
              <w:t xml:space="preserve">（b）各项措施方案基本全面的，有一定针对性的，得</w:t>
            </w:r>
            <w:r>
              <w:rPr>
                <w:rFonts w:hint="eastAsia"/>
                <w:color w:val="auto"/>
                <w:highlight w:val="none"/>
                <w:lang w:val="en-US" w:eastAsia="zh-CN" w:bidi="ar"/>
              </w:rPr>
              <w:t xml:space="preserve">2</w:t>
            </w:r>
            <w:r>
              <w:rPr>
                <w:rFonts w:hint="eastAsia"/>
                <w:color w:val="auto"/>
                <w:highlight w:val="none"/>
                <w:lang w:bidi="ar"/>
              </w:rPr>
              <w:t xml:space="preserve">分。</w:t>
            </w:r>
            <w:r>
              <w:rPr>
                <w:color w:val="auto"/>
                <w:highlight w:val="none"/>
              </w:rPr>
            </w:r>
            <w:r/>
          </w:p>
          <w:p>
            <w:pPr>
              <w:pStyle w:val="873"/>
              <w:widowControl/>
              <w:rPr>
                <w:color w:val="auto"/>
                <w:highlight w:val="none"/>
              </w:rPr>
            </w:pPr>
            <w:r>
              <w:rPr>
                <w:rFonts w:hint="eastAsia"/>
                <w:color w:val="auto"/>
                <w:highlight w:val="none"/>
                <w:lang w:bidi="ar"/>
              </w:rPr>
              <w:t xml:space="preserve">（c）各项措施方案不够全面，针对性一般的，得</w:t>
            </w:r>
            <w:r>
              <w:rPr>
                <w:rFonts w:hint="eastAsia"/>
                <w:color w:val="auto"/>
                <w:highlight w:val="none"/>
                <w:lang w:val="en-US" w:eastAsia="zh-CN" w:bidi="ar"/>
              </w:rPr>
              <w:t xml:space="preserve">1</w:t>
            </w:r>
            <w:r>
              <w:rPr>
                <w:rFonts w:hint="eastAsia"/>
                <w:color w:val="auto"/>
                <w:highlight w:val="none"/>
                <w:lang w:bidi="ar"/>
              </w:rPr>
              <w:t xml:space="preserve">分。</w:t>
            </w:r>
            <w:r>
              <w:rPr>
                <w:color w:val="auto"/>
                <w:highlight w:val="none"/>
              </w:rPr>
            </w:r>
            <w:r/>
          </w:p>
          <w:p>
            <w:pPr>
              <w:pStyle w:val="873"/>
              <w:widowControl/>
              <w:rPr>
                <w:rFonts w:ascii="宋体" w:hAnsi="宋体" w:cs="宋体"/>
                <w:color w:val="auto"/>
                <w:spacing w:val="1"/>
                <w:highlight w:val="none"/>
              </w:rPr>
            </w:pPr>
            <w:r>
              <w:rPr>
                <w:rFonts w:hint="eastAsia"/>
                <w:color w:val="auto"/>
                <w:highlight w:val="none"/>
                <w:lang w:bidi="ar"/>
              </w:rPr>
              <w:t xml:space="preserve">（d）没有措施方案的，不得分。</w:t>
            </w:r>
            <w:r>
              <w:rPr>
                <w:color w:val="auto"/>
                <w:highlight w:val="none"/>
              </w:rPr>
            </w:r>
            <w:r/>
          </w:p>
        </w:tc>
        <w:tc>
          <w:tcPr>
            <w:tcW w:w="571" w:type="dxa"/>
            <w:vAlign w:val="center"/>
            <w:textDirection w:val="lrTb"/>
            <w:noWrap w:val="false"/>
          </w:tcPr>
          <w:p>
            <w:pPr>
              <w:pStyle w:val="873"/>
              <w:jc w:val="center"/>
              <w:widowControl/>
              <w:rPr>
                <w:rFonts w:ascii="宋体" w:hAnsi="宋体" w:cs="宋体"/>
                <w:color w:val="auto"/>
                <w:highlight w:val="none"/>
              </w:rPr>
            </w:pPr>
            <w:r>
              <w:rPr>
                <w:rFonts w:hint="eastAsia"/>
                <w:color w:val="auto"/>
                <w:highlight w:val="none"/>
                <w:lang w:val="en-US" w:eastAsia="zh-CN" w:bidi="ar"/>
              </w:rPr>
              <w:t xml:space="preserve">3</w:t>
            </w:r>
            <w:r>
              <w:rPr>
                <w:color w:val="auto"/>
                <w:highlight w:val="none"/>
              </w:rPr>
            </w:r>
            <w:r/>
          </w:p>
        </w:tc>
        <w:tc>
          <w:tcPr>
            <w:tcW w:w="863" w:type="dxa"/>
            <w:vAlign w:val="center"/>
            <w:textDirection w:val="lrTb"/>
            <w:noWrap w:val="false"/>
          </w:tcPr>
          <w:p>
            <w:pPr>
              <w:pStyle w:val="873"/>
              <w:jc w:val="center"/>
              <w:widowControl/>
              <w:rPr>
                <w:rFonts w:ascii="宋体" w:hAnsi="宋体" w:cs="宋体"/>
                <w:color w:val="auto"/>
                <w:highlight w:val="none"/>
              </w:rPr>
            </w:pPr>
            <w:r>
              <w:rPr>
                <w:rFonts w:hint="eastAsia"/>
                <w:color w:val="auto"/>
                <w:highlight w:val="none"/>
                <w:lang w:bidi="ar"/>
              </w:rPr>
              <w:t xml:space="preserve">主观分</w:t>
            </w:r>
            <w:r>
              <w:rPr>
                <w:color w:val="auto"/>
                <w:highlight w:val="none"/>
              </w:rPr>
            </w:r>
            <w:r/>
          </w:p>
        </w:tc>
      </w:tr>
      <w:tr>
        <w:trPr>
          <w:trHeight w:val="958"/>
        </w:trPr>
        <w:tc>
          <w:tcPr>
            <w:gridSpan w:val="2"/>
            <w:tcW w:w="519" w:type="dxa"/>
            <w:vAlign w:val="center"/>
            <w:textDirection w:val="lrTb"/>
            <w:noWrap w:val="false"/>
          </w:tcPr>
          <w:p>
            <w:pPr>
              <w:pStyle w:val="873"/>
              <w:widowControl/>
              <w:rPr>
                <w:rFonts w:ascii="宋体" w:hAnsi="宋体" w:cs="宋体"/>
                <w:color w:val="auto"/>
                <w:spacing w:val="-2"/>
                <w:highlight w:val="none"/>
              </w:rPr>
            </w:pPr>
            <w:r>
              <w:rPr>
                <w:rFonts w:hint="eastAsia"/>
                <w:color w:val="auto"/>
                <w:highlight w:val="none"/>
                <w:lang w:bidi="ar"/>
              </w:rPr>
              <w:t xml:space="preserve">2.5</w:t>
            </w:r>
            <w:r>
              <w:rPr>
                <w:color w:val="auto"/>
                <w:highlight w:val="none"/>
              </w:rPr>
            </w:r>
            <w:r/>
          </w:p>
        </w:tc>
        <w:tc>
          <w:tcPr>
            <w:tcW w:w="1180" w:type="dxa"/>
            <w:vAlign w:val="center"/>
            <w:textDirection w:val="lrTb"/>
            <w:noWrap w:val="false"/>
          </w:tcPr>
          <w:p>
            <w:pPr>
              <w:pStyle w:val="873"/>
              <w:widowControl/>
              <w:rPr>
                <w:rFonts w:ascii="宋体" w:hAnsi="宋体" w:cs="宋体"/>
                <w:color w:val="auto"/>
                <w:spacing w:val="-4"/>
                <w:highlight w:val="none"/>
              </w:rPr>
            </w:pPr>
            <w:r>
              <w:rPr>
                <w:rFonts w:hint="eastAsia"/>
                <w:color w:val="auto"/>
                <w:highlight w:val="none"/>
                <w:lang w:bidi="ar"/>
              </w:rPr>
              <w:t xml:space="preserve">突发事件应急处理</w:t>
            </w:r>
            <w:r>
              <w:rPr>
                <w:color w:val="auto"/>
                <w:highlight w:val="none"/>
              </w:rPr>
            </w:r>
            <w:r/>
          </w:p>
        </w:tc>
        <w:tc>
          <w:tcPr>
            <w:tcW w:w="6624" w:type="dxa"/>
            <w:vAlign w:val="center"/>
            <w:textDirection w:val="lrTb"/>
            <w:noWrap w:val="false"/>
          </w:tcPr>
          <w:p>
            <w:pPr>
              <w:pStyle w:val="873"/>
              <w:widowControl/>
              <w:rPr>
                <w:color w:val="auto"/>
                <w:highlight w:val="none"/>
              </w:rPr>
            </w:pPr>
            <w:r>
              <w:rPr>
                <w:rFonts w:hint="eastAsia"/>
                <w:color w:val="auto"/>
                <w:highlight w:val="none"/>
                <w:lang w:bidi="ar"/>
              </w:rPr>
              <w:t xml:space="preserve">根据投标人提供的突发事件预案,如防台风，防汛，扫雪、防冻等应急处理预案以及针对突发事件的人员组织安排评分。</w:t>
            </w:r>
            <w:r>
              <w:rPr>
                <w:color w:val="auto"/>
                <w:highlight w:val="none"/>
              </w:rPr>
            </w:r>
            <w:r/>
          </w:p>
          <w:p>
            <w:pPr>
              <w:pStyle w:val="873"/>
              <w:widowControl/>
              <w:rPr>
                <w:color w:val="auto"/>
                <w:highlight w:val="none"/>
              </w:rPr>
            </w:pPr>
            <w:r>
              <w:rPr>
                <w:rFonts w:hint="eastAsia"/>
                <w:color w:val="auto"/>
                <w:highlight w:val="none"/>
                <w:lang w:bidi="ar"/>
              </w:rPr>
              <w:t xml:space="preserve">（a）突发事件应急处理预案完备健全,人员组织安排很合理,对本项目服务有很强针对性的,实际可操作性很强的得</w:t>
            </w:r>
            <w:r>
              <w:rPr>
                <w:rFonts w:hint="eastAsia"/>
                <w:color w:val="auto"/>
                <w:highlight w:val="none"/>
                <w:lang w:val="en-US" w:eastAsia="zh-CN" w:bidi="ar"/>
              </w:rPr>
              <w:t xml:space="preserve">3</w:t>
            </w:r>
            <w:r>
              <w:rPr>
                <w:rFonts w:hint="eastAsia"/>
                <w:color w:val="auto"/>
                <w:highlight w:val="none"/>
                <w:lang w:bidi="ar"/>
              </w:rPr>
              <w:t xml:space="preserve">分。</w:t>
            </w:r>
            <w:r>
              <w:rPr>
                <w:color w:val="auto"/>
                <w:highlight w:val="none"/>
              </w:rPr>
            </w:r>
            <w:r/>
          </w:p>
          <w:p>
            <w:pPr>
              <w:pStyle w:val="873"/>
              <w:widowControl/>
              <w:rPr>
                <w:color w:val="auto"/>
                <w:highlight w:val="none"/>
              </w:rPr>
            </w:pPr>
            <w:r>
              <w:rPr>
                <w:rFonts w:hint="eastAsia"/>
                <w:color w:val="auto"/>
                <w:highlight w:val="none"/>
                <w:lang w:bidi="ar"/>
              </w:rPr>
              <w:t xml:space="preserve">（b）突发事件应急处理预案</w:t>
            </w:r>
            <w:r>
              <w:rPr>
                <w:rFonts w:hint="eastAsia"/>
                <w:color w:val="auto"/>
                <w:highlight w:val="none"/>
                <w:lang w:eastAsia="zh-CN" w:bidi="ar"/>
              </w:rPr>
              <w:t xml:space="preserve">较为</w:t>
            </w:r>
            <w:r>
              <w:rPr>
                <w:rFonts w:hint="eastAsia"/>
                <w:color w:val="auto"/>
                <w:highlight w:val="none"/>
                <w:lang w:bidi="ar"/>
              </w:rPr>
              <w:t xml:space="preserve">全面，人员组织</w:t>
            </w:r>
            <w:r>
              <w:rPr>
                <w:rFonts w:hint="eastAsia"/>
                <w:color w:val="auto"/>
                <w:highlight w:val="none"/>
                <w:lang w:eastAsia="zh-CN" w:bidi="ar"/>
              </w:rPr>
              <w:t xml:space="preserve">较</w:t>
            </w:r>
            <w:r>
              <w:rPr>
                <w:rFonts w:hint="eastAsia"/>
                <w:color w:val="auto"/>
                <w:highlight w:val="none"/>
                <w:lang w:bidi="ar"/>
              </w:rPr>
              <w:t xml:space="preserve">合理，有一定针对性的得</w:t>
            </w:r>
            <w:r>
              <w:rPr>
                <w:rFonts w:hint="eastAsia"/>
                <w:color w:val="auto"/>
                <w:highlight w:val="none"/>
                <w:lang w:val="en-US" w:eastAsia="zh-CN" w:bidi="ar"/>
              </w:rPr>
              <w:t xml:space="preserve">2</w:t>
            </w:r>
            <w:r>
              <w:rPr>
                <w:rFonts w:hint="eastAsia"/>
                <w:color w:val="auto"/>
                <w:highlight w:val="none"/>
                <w:lang w:bidi="ar"/>
              </w:rPr>
              <w:t xml:space="preserve">分</w:t>
            </w:r>
            <w:r>
              <w:rPr>
                <w:color w:val="auto"/>
                <w:highlight w:val="none"/>
              </w:rPr>
            </w:r>
            <w:r/>
          </w:p>
          <w:p>
            <w:pPr>
              <w:pStyle w:val="873"/>
              <w:widowControl/>
              <w:rPr>
                <w:color w:val="auto"/>
                <w:highlight w:val="none"/>
              </w:rPr>
            </w:pPr>
            <w:r>
              <w:rPr>
                <w:rFonts w:hint="eastAsia"/>
                <w:color w:val="auto"/>
                <w:highlight w:val="none"/>
                <w:lang w:bidi="ar"/>
              </w:rPr>
              <w:t xml:space="preserve">（c）突发事件应急处理预案</w:t>
            </w:r>
            <w:r>
              <w:rPr>
                <w:rFonts w:hint="eastAsia"/>
                <w:color w:val="auto"/>
                <w:highlight w:val="none"/>
                <w:lang w:eastAsia="zh-CN" w:bidi="ar"/>
              </w:rPr>
              <w:t xml:space="preserve">基本全面</w:t>
            </w:r>
            <w:r>
              <w:rPr>
                <w:rFonts w:hint="eastAsia"/>
                <w:color w:val="auto"/>
                <w:highlight w:val="none"/>
                <w:lang w:bidi="ar"/>
              </w:rPr>
              <w:t xml:space="preserve">，人员组织基本合理，针对性</w:t>
            </w:r>
            <w:r>
              <w:rPr>
                <w:rFonts w:hint="eastAsia"/>
                <w:color w:val="auto"/>
                <w:highlight w:val="none"/>
                <w:lang w:eastAsia="zh-CN" w:bidi="ar"/>
              </w:rPr>
              <w:t xml:space="preserve">一般</w:t>
            </w:r>
            <w:r>
              <w:rPr>
                <w:rFonts w:hint="eastAsia"/>
                <w:color w:val="auto"/>
                <w:highlight w:val="none"/>
                <w:lang w:bidi="ar"/>
              </w:rPr>
              <w:t xml:space="preserve">的得</w:t>
            </w:r>
            <w:r>
              <w:rPr>
                <w:rFonts w:hint="eastAsia"/>
                <w:color w:val="auto"/>
                <w:highlight w:val="none"/>
                <w:lang w:val="en-US" w:eastAsia="zh-CN" w:bidi="ar"/>
              </w:rPr>
              <w:t xml:space="preserve">1</w:t>
            </w:r>
            <w:r>
              <w:rPr>
                <w:rFonts w:hint="eastAsia"/>
                <w:color w:val="auto"/>
                <w:highlight w:val="none"/>
                <w:lang w:bidi="ar"/>
              </w:rPr>
              <w:t xml:space="preserve">分。</w:t>
            </w:r>
            <w:r>
              <w:rPr>
                <w:color w:val="auto"/>
                <w:highlight w:val="none"/>
              </w:rPr>
            </w:r>
            <w:r/>
          </w:p>
          <w:p>
            <w:pPr>
              <w:pStyle w:val="873"/>
              <w:widowControl/>
              <w:rPr>
                <w:rFonts w:ascii="宋体" w:hAnsi="宋体" w:cs="宋体"/>
                <w:color w:val="auto"/>
                <w:spacing w:val="1"/>
                <w:highlight w:val="none"/>
              </w:rPr>
            </w:pPr>
            <w:r>
              <w:rPr>
                <w:rFonts w:hint="eastAsia"/>
                <w:color w:val="auto"/>
                <w:highlight w:val="none"/>
                <w:lang w:bidi="ar"/>
              </w:rPr>
              <w:t xml:space="preserve">（d）没有突发事件应急处理预案的，不得分。</w:t>
            </w:r>
            <w:r>
              <w:rPr>
                <w:color w:val="auto"/>
                <w:highlight w:val="none"/>
              </w:rPr>
            </w:r>
            <w:r/>
          </w:p>
        </w:tc>
        <w:tc>
          <w:tcPr>
            <w:tcW w:w="571" w:type="dxa"/>
            <w:vAlign w:val="center"/>
            <w:textDirection w:val="lrTb"/>
            <w:noWrap w:val="false"/>
          </w:tcPr>
          <w:p>
            <w:pPr>
              <w:pStyle w:val="873"/>
              <w:jc w:val="center"/>
              <w:widowControl/>
              <w:rPr>
                <w:rFonts w:ascii="宋体" w:hAnsi="宋体" w:cs="宋体"/>
                <w:color w:val="auto"/>
                <w:highlight w:val="none"/>
              </w:rPr>
            </w:pPr>
            <w:r>
              <w:rPr>
                <w:rFonts w:hint="eastAsia"/>
                <w:color w:val="auto"/>
                <w:highlight w:val="none"/>
                <w:lang w:val="en-US" w:eastAsia="zh-CN" w:bidi="ar"/>
              </w:rPr>
              <w:t xml:space="preserve">3</w:t>
            </w:r>
            <w:r>
              <w:rPr>
                <w:color w:val="auto"/>
                <w:highlight w:val="none"/>
              </w:rPr>
            </w:r>
            <w:r/>
          </w:p>
        </w:tc>
        <w:tc>
          <w:tcPr>
            <w:tcW w:w="863" w:type="dxa"/>
            <w:vAlign w:val="center"/>
            <w:textDirection w:val="lrTb"/>
            <w:noWrap w:val="false"/>
          </w:tcPr>
          <w:p>
            <w:pPr>
              <w:pStyle w:val="873"/>
              <w:jc w:val="center"/>
              <w:widowControl/>
              <w:rPr>
                <w:rFonts w:ascii="宋体" w:hAnsi="宋体" w:cs="宋体"/>
                <w:color w:val="auto"/>
                <w:highlight w:val="none"/>
              </w:rPr>
            </w:pPr>
            <w:r>
              <w:rPr>
                <w:rFonts w:hint="eastAsia"/>
                <w:color w:val="auto"/>
                <w:highlight w:val="none"/>
                <w:lang w:bidi="ar"/>
              </w:rPr>
              <w:t xml:space="preserve">主观分</w:t>
            </w:r>
            <w:r>
              <w:rPr>
                <w:color w:val="auto"/>
                <w:highlight w:val="none"/>
              </w:rPr>
            </w:r>
            <w:r/>
          </w:p>
        </w:tc>
      </w:tr>
      <w:tr>
        <w:trPr>
          <w:trHeight w:val="460"/>
        </w:trPr>
        <w:tc>
          <w:tcPr>
            <w:gridSpan w:val="2"/>
            <w:tcW w:w="519" w:type="dxa"/>
            <w:vAlign w:val="center"/>
            <w:textDirection w:val="lrTb"/>
            <w:noWrap w:val="false"/>
          </w:tcPr>
          <w:p>
            <w:pPr>
              <w:pStyle w:val="873"/>
              <w:widowControl/>
              <w:rPr>
                <w:rFonts w:ascii="宋体" w:hAnsi="宋体" w:cs="宋体"/>
                <w:color w:val="auto"/>
                <w:highlight w:val="none"/>
              </w:rPr>
            </w:pPr>
            <w:r>
              <w:rPr>
                <w:rFonts w:hint="eastAsia"/>
                <w:color w:val="auto"/>
                <w:highlight w:val="none"/>
                <w:lang w:bidi="ar"/>
              </w:rPr>
              <w:t xml:space="preserve">2.6</w:t>
            </w:r>
            <w:r>
              <w:rPr>
                <w:color w:val="auto"/>
                <w:highlight w:val="none"/>
              </w:rPr>
            </w:r>
            <w:r/>
          </w:p>
        </w:tc>
        <w:tc>
          <w:tcPr>
            <w:tcW w:w="1180" w:type="dxa"/>
            <w:vAlign w:val="center"/>
            <w:textDirection w:val="lrTb"/>
            <w:noWrap w:val="false"/>
          </w:tcPr>
          <w:p>
            <w:pPr>
              <w:pStyle w:val="873"/>
              <w:jc w:val="center"/>
              <w:widowControl/>
              <w:rPr>
                <w:color w:val="auto"/>
                <w:highlight w:val="none"/>
              </w:rPr>
            </w:pPr>
            <w:r>
              <w:rPr>
                <w:rFonts w:hint="eastAsia"/>
                <w:color w:val="auto"/>
                <w:highlight w:val="none"/>
                <w:lang w:bidi="ar"/>
              </w:rPr>
              <w:t xml:space="preserve">养护安全措施</w:t>
            </w:r>
            <w:r>
              <w:rPr>
                <w:color w:val="auto"/>
                <w:highlight w:val="none"/>
              </w:rPr>
            </w:r>
            <w:r/>
          </w:p>
        </w:tc>
        <w:tc>
          <w:tcPr>
            <w:tcW w:w="6624" w:type="dxa"/>
            <w:vAlign w:val="center"/>
            <w:textDirection w:val="lrTb"/>
            <w:noWrap w:val="false"/>
          </w:tcPr>
          <w:p>
            <w:pPr>
              <w:pStyle w:val="873"/>
              <w:widowControl/>
              <w:rPr>
                <w:color w:val="auto"/>
                <w:highlight w:val="none"/>
              </w:rPr>
            </w:pPr>
            <w:r>
              <w:rPr>
                <w:rFonts w:hint="eastAsia"/>
                <w:color w:val="auto"/>
                <w:highlight w:val="none"/>
                <w:lang w:bidi="ar"/>
              </w:rPr>
              <w:t xml:space="preserve">根据投标人提供的针对本项目养护期间安全保证措施的规范性、全面性、合理性、针对性、可靠性及操作规程科学性等评分。</w:t>
            </w:r>
            <w:r>
              <w:rPr>
                <w:color w:val="auto"/>
                <w:highlight w:val="none"/>
              </w:rPr>
            </w:r>
            <w:r/>
          </w:p>
          <w:p>
            <w:pPr>
              <w:pStyle w:val="873"/>
              <w:widowControl/>
              <w:rPr>
                <w:color w:val="auto"/>
                <w:highlight w:val="none"/>
              </w:rPr>
            </w:pPr>
            <w:r>
              <w:rPr>
                <w:rFonts w:hint="eastAsia"/>
                <w:color w:val="auto"/>
                <w:highlight w:val="none"/>
                <w:lang w:bidi="ar"/>
              </w:rPr>
              <w:t xml:space="preserve">（a）安全保证措施规范很全面具体、合理、有很强针对性,操作规程科学性强的，得</w:t>
            </w:r>
            <w:r>
              <w:rPr>
                <w:rFonts w:hint="eastAsia"/>
                <w:color w:val="auto"/>
                <w:highlight w:val="none"/>
                <w:lang w:val="en-US" w:eastAsia="zh-CN" w:bidi="ar"/>
              </w:rPr>
              <w:t xml:space="preserve">3</w:t>
            </w:r>
            <w:r>
              <w:rPr>
                <w:rFonts w:hint="eastAsia"/>
                <w:color w:val="auto"/>
                <w:highlight w:val="none"/>
                <w:lang w:bidi="ar"/>
              </w:rPr>
              <w:t xml:space="preserve">分。</w:t>
            </w:r>
            <w:r>
              <w:rPr>
                <w:color w:val="auto"/>
                <w:highlight w:val="none"/>
              </w:rPr>
            </w:r>
            <w:r/>
          </w:p>
          <w:p>
            <w:pPr>
              <w:pStyle w:val="873"/>
              <w:widowControl/>
              <w:rPr>
                <w:color w:val="auto"/>
                <w:highlight w:val="none"/>
              </w:rPr>
            </w:pPr>
            <w:r>
              <w:rPr>
                <w:rFonts w:hint="eastAsia"/>
                <w:color w:val="auto"/>
                <w:highlight w:val="none"/>
                <w:lang w:bidi="ar"/>
              </w:rPr>
              <w:t xml:space="preserve">（b）安全保证措施基本全面，基本合理，有一定针对性的得</w:t>
            </w:r>
            <w:r>
              <w:rPr>
                <w:rFonts w:hint="eastAsia"/>
                <w:color w:val="auto"/>
                <w:highlight w:val="none"/>
                <w:lang w:val="en-US" w:eastAsia="zh-CN" w:bidi="ar"/>
              </w:rPr>
              <w:t xml:space="preserve">2</w:t>
            </w:r>
            <w:r>
              <w:rPr>
                <w:rFonts w:hint="eastAsia"/>
                <w:color w:val="auto"/>
                <w:highlight w:val="none"/>
                <w:lang w:bidi="ar"/>
              </w:rPr>
              <w:t xml:space="preserve">分</w:t>
            </w:r>
            <w:r>
              <w:rPr>
                <w:color w:val="auto"/>
                <w:highlight w:val="none"/>
              </w:rPr>
            </w:r>
            <w:r/>
          </w:p>
          <w:p>
            <w:pPr>
              <w:pStyle w:val="873"/>
              <w:widowControl/>
              <w:rPr>
                <w:color w:val="auto"/>
                <w:highlight w:val="none"/>
              </w:rPr>
            </w:pPr>
            <w:r>
              <w:rPr>
                <w:rFonts w:hint="eastAsia"/>
                <w:color w:val="auto"/>
                <w:highlight w:val="none"/>
                <w:lang w:bidi="ar"/>
              </w:rPr>
              <w:t xml:space="preserve">（c）安全保证措施一般，针对性不强的得</w:t>
            </w:r>
            <w:r>
              <w:rPr>
                <w:rFonts w:hint="eastAsia"/>
                <w:color w:val="auto"/>
                <w:highlight w:val="none"/>
                <w:lang w:val="en-US" w:eastAsia="zh-CN" w:bidi="ar"/>
              </w:rPr>
              <w:t xml:space="preserve">1</w:t>
            </w:r>
            <w:r>
              <w:rPr>
                <w:rFonts w:hint="eastAsia"/>
                <w:color w:val="auto"/>
                <w:highlight w:val="none"/>
                <w:lang w:bidi="ar"/>
              </w:rPr>
              <w:t xml:space="preserve">分。</w:t>
            </w:r>
            <w:r>
              <w:rPr>
                <w:color w:val="auto"/>
                <w:highlight w:val="none"/>
              </w:rPr>
            </w:r>
            <w:r/>
          </w:p>
          <w:p>
            <w:pPr>
              <w:pStyle w:val="873"/>
              <w:widowControl/>
              <w:rPr>
                <w:color w:val="auto"/>
                <w:highlight w:val="none"/>
              </w:rPr>
            </w:pPr>
            <w:r>
              <w:rPr>
                <w:rFonts w:hint="eastAsia"/>
                <w:color w:val="auto"/>
                <w:highlight w:val="none"/>
                <w:lang w:bidi="ar"/>
              </w:rPr>
              <w:t xml:space="preserve">（d）没有安全保证措施的，不得分。</w:t>
            </w:r>
            <w:r>
              <w:rPr>
                <w:color w:val="auto"/>
                <w:highlight w:val="none"/>
              </w:rPr>
            </w:r>
            <w:r/>
          </w:p>
        </w:tc>
        <w:tc>
          <w:tcPr>
            <w:tcW w:w="571" w:type="dxa"/>
            <w:vAlign w:val="center"/>
            <w:textDirection w:val="lrTb"/>
            <w:noWrap w:val="false"/>
          </w:tcPr>
          <w:p>
            <w:pPr>
              <w:pStyle w:val="873"/>
              <w:jc w:val="center"/>
              <w:widowControl/>
              <w:rPr>
                <w:color w:val="auto"/>
                <w:highlight w:val="none"/>
              </w:rPr>
            </w:pPr>
            <w:r>
              <w:rPr>
                <w:rFonts w:hint="eastAsia"/>
                <w:color w:val="auto"/>
                <w:highlight w:val="none"/>
                <w:lang w:val="en-US" w:eastAsia="zh-CN" w:bidi="ar"/>
              </w:rPr>
              <w:t xml:space="preserve">3</w:t>
            </w:r>
            <w:r>
              <w:rPr>
                <w:color w:val="auto"/>
                <w:highlight w:val="none"/>
              </w:rPr>
            </w:r>
            <w:r/>
          </w:p>
        </w:tc>
        <w:tc>
          <w:tcPr>
            <w:tcW w:w="863" w:type="dxa"/>
            <w:vAlign w:val="center"/>
            <w:textDirection w:val="lrTb"/>
            <w:noWrap w:val="false"/>
          </w:tcPr>
          <w:p>
            <w:pPr>
              <w:pStyle w:val="873"/>
              <w:jc w:val="center"/>
              <w:widowControl/>
              <w:rPr>
                <w:color w:val="auto"/>
                <w:highlight w:val="none"/>
              </w:rPr>
            </w:pPr>
            <w:r>
              <w:rPr>
                <w:rFonts w:hint="eastAsia"/>
                <w:color w:val="auto"/>
                <w:highlight w:val="none"/>
                <w:lang w:bidi="ar"/>
              </w:rPr>
              <w:t xml:space="preserve">主观分</w:t>
            </w:r>
            <w:r>
              <w:rPr>
                <w:color w:val="auto"/>
                <w:highlight w:val="none"/>
              </w:rPr>
            </w:r>
            <w:r/>
          </w:p>
        </w:tc>
      </w:tr>
      <w:tr>
        <w:trPr>
          <w:trHeight w:val="1019"/>
        </w:trPr>
        <w:tc>
          <w:tcPr>
            <w:gridSpan w:val="2"/>
            <w:tcW w:w="519" w:type="dxa"/>
            <w:vAlign w:val="center"/>
            <w:textDirection w:val="lrTb"/>
            <w:noWrap w:val="false"/>
          </w:tcPr>
          <w:p>
            <w:pPr>
              <w:pStyle w:val="873"/>
              <w:widowControl/>
              <w:rPr>
                <w:rFonts w:ascii="宋体" w:hAnsi="宋体" w:cs="宋体"/>
                <w:color w:val="auto"/>
                <w:spacing w:val="-2"/>
                <w:highlight w:val="none"/>
              </w:rPr>
            </w:pPr>
            <w:r>
              <w:rPr>
                <w:rFonts w:hint="eastAsia"/>
                <w:color w:val="auto"/>
                <w:highlight w:val="none"/>
                <w:lang w:bidi="ar"/>
              </w:rPr>
              <w:t xml:space="preserve">2.7</w:t>
            </w:r>
            <w:r>
              <w:rPr>
                <w:color w:val="auto"/>
                <w:highlight w:val="none"/>
              </w:rPr>
            </w:r>
            <w:r/>
          </w:p>
        </w:tc>
        <w:tc>
          <w:tcPr>
            <w:tcW w:w="1180" w:type="dxa"/>
            <w:vAlign w:val="center"/>
            <w:textDirection w:val="lrTb"/>
            <w:noWrap w:val="false"/>
          </w:tcPr>
          <w:p>
            <w:pPr>
              <w:pStyle w:val="873"/>
              <w:jc w:val="center"/>
              <w:widowControl/>
              <w:rPr>
                <w:rFonts w:ascii="宋体" w:hAnsi="宋体" w:cs="宋体"/>
                <w:color w:val="auto"/>
                <w:spacing w:val="-2"/>
                <w:highlight w:val="none"/>
              </w:rPr>
            </w:pPr>
            <w:r>
              <w:rPr>
                <w:rFonts w:hint="eastAsia"/>
                <w:color w:val="auto"/>
                <w:highlight w:val="none"/>
              </w:rPr>
              <w:t xml:space="preserve">草花养护措施保障方案</w:t>
            </w:r>
            <w:r>
              <w:rPr>
                <w:color w:val="auto"/>
                <w:highlight w:val="none"/>
              </w:rPr>
            </w:r>
            <w:r/>
          </w:p>
        </w:tc>
        <w:tc>
          <w:tcPr>
            <w:tcW w:w="6624" w:type="dxa"/>
            <w:vAlign w:val="center"/>
            <w:textDirection w:val="lrTb"/>
            <w:noWrap w:val="false"/>
          </w:tcPr>
          <w:p>
            <w:pPr>
              <w:pStyle w:val="873"/>
              <w:widowControl/>
              <w:rPr>
                <w:color w:val="auto"/>
                <w:highlight w:val="none"/>
              </w:rPr>
            </w:pPr>
            <w:r>
              <w:rPr>
                <w:rFonts w:hint="eastAsia"/>
                <w:color w:val="auto"/>
                <w:highlight w:val="none"/>
                <w:lang w:bidi="ar"/>
              </w:rPr>
              <w:t xml:space="preserve">根据投标人提供的快速路及轻轨沿线绿化养护措施方案的全面性、合理性、针对性等评分。</w:t>
            </w:r>
            <w:r>
              <w:rPr>
                <w:color w:val="auto"/>
                <w:highlight w:val="none"/>
              </w:rPr>
            </w:r>
            <w:r/>
          </w:p>
          <w:p>
            <w:pPr>
              <w:pStyle w:val="873"/>
              <w:widowControl/>
              <w:rPr>
                <w:color w:val="auto"/>
                <w:highlight w:val="none"/>
              </w:rPr>
            </w:pPr>
            <w:r>
              <w:rPr>
                <w:rFonts w:hint="eastAsia"/>
                <w:color w:val="auto"/>
                <w:highlight w:val="none"/>
                <w:lang w:bidi="ar"/>
              </w:rPr>
              <w:t xml:space="preserve">（a）养护措施保障方案很全面具体、合理、有很强针对性的，得</w:t>
            </w:r>
            <w:r>
              <w:rPr>
                <w:rFonts w:hint="eastAsia"/>
                <w:color w:val="auto"/>
                <w:highlight w:val="none"/>
                <w:lang w:val="en-US" w:eastAsia="zh-CN" w:bidi="ar"/>
              </w:rPr>
              <w:t xml:space="preserve">4</w:t>
            </w:r>
            <w:r>
              <w:rPr>
                <w:rFonts w:hint="eastAsia"/>
                <w:color w:val="auto"/>
                <w:highlight w:val="none"/>
                <w:lang w:bidi="ar"/>
              </w:rPr>
              <w:t xml:space="preserve">分。</w:t>
            </w:r>
            <w:r>
              <w:rPr>
                <w:color w:val="auto"/>
                <w:highlight w:val="none"/>
              </w:rPr>
            </w:r>
            <w:r/>
          </w:p>
          <w:p>
            <w:pPr>
              <w:pStyle w:val="873"/>
              <w:widowControl/>
              <w:rPr>
                <w:color w:val="auto"/>
                <w:highlight w:val="none"/>
              </w:rPr>
            </w:pPr>
            <w:r>
              <w:rPr>
                <w:rFonts w:hint="eastAsia"/>
                <w:color w:val="auto"/>
                <w:highlight w:val="none"/>
                <w:lang w:bidi="ar"/>
              </w:rPr>
              <w:t xml:space="preserve">（b）养护措施保障方案基本全面，基本合理，有一定针对性的得</w:t>
            </w:r>
            <w:r>
              <w:rPr>
                <w:rFonts w:hint="eastAsia"/>
                <w:color w:val="auto"/>
                <w:highlight w:val="none"/>
                <w:lang w:val="en-US" w:eastAsia="zh-CN" w:bidi="ar"/>
              </w:rPr>
              <w:t xml:space="preserve">2</w:t>
            </w:r>
            <w:r>
              <w:rPr>
                <w:rFonts w:hint="eastAsia"/>
                <w:color w:val="auto"/>
                <w:highlight w:val="none"/>
                <w:lang w:bidi="ar"/>
              </w:rPr>
              <w:t xml:space="preserve">分</w:t>
            </w:r>
            <w:r>
              <w:rPr>
                <w:color w:val="auto"/>
                <w:highlight w:val="none"/>
              </w:rPr>
            </w:r>
            <w:r/>
          </w:p>
          <w:p>
            <w:pPr>
              <w:pStyle w:val="873"/>
              <w:widowControl/>
              <w:rPr>
                <w:color w:val="auto"/>
                <w:highlight w:val="none"/>
              </w:rPr>
            </w:pPr>
            <w:r>
              <w:rPr>
                <w:rFonts w:hint="eastAsia"/>
                <w:color w:val="auto"/>
                <w:highlight w:val="none"/>
                <w:lang w:bidi="ar"/>
              </w:rPr>
              <w:t xml:space="preserve">（c）养护措施保障方案一般，针对性不强的得</w:t>
            </w:r>
            <w:r>
              <w:rPr>
                <w:rFonts w:hint="eastAsia"/>
                <w:color w:val="auto"/>
                <w:highlight w:val="none"/>
                <w:lang w:val="en-US" w:eastAsia="zh-CN" w:bidi="ar"/>
              </w:rPr>
              <w:t xml:space="preserve">1</w:t>
            </w:r>
            <w:r>
              <w:rPr>
                <w:rFonts w:hint="eastAsia"/>
                <w:color w:val="auto"/>
                <w:highlight w:val="none"/>
                <w:lang w:bidi="ar"/>
              </w:rPr>
              <w:t xml:space="preserve">分。</w:t>
            </w:r>
            <w:r>
              <w:rPr>
                <w:color w:val="auto"/>
                <w:highlight w:val="none"/>
              </w:rPr>
            </w:r>
            <w:r/>
          </w:p>
          <w:p>
            <w:pPr>
              <w:pStyle w:val="873"/>
              <w:widowControl/>
              <w:rPr>
                <w:rFonts w:ascii="宋体" w:hAnsi="宋体" w:cs="宋体"/>
                <w:color w:val="auto"/>
                <w:highlight w:val="none"/>
              </w:rPr>
            </w:pPr>
            <w:r>
              <w:rPr>
                <w:rFonts w:hint="eastAsia"/>
                <w:color w:val="auto"/>
                <w:highlight w:val="none"/>
                <w:lang w:bidi="ar"/>
              </w:rPr>
              <w:t xml:space="preserve">（d）没有养护措施保障方案的，不得分。</w:t>
            </w:r>
            <w:r>
              <w:rPr>
                <w:color w:val="auto"/>
                <w:highlight w:val="none"/>
              </w:rPr>
            </w:r>
            <w:r/>
          </w:p>
        </w:tc>
        <w:tc>
          <w:tcPr>
            <w:tcW w:w="571" w:type="dxa"/>
            <w:vAlign w:val="center"/>
            <w:textDirection w:val="lrTb"/>
            <w:noWrap w:val="false"/>
          </w:tcPr>
          <w:p>
            <w:pPr>
              <w:pStyle w:val="873"/>
              <w:jc w:val="center"/>
              <w:widowControl/>
              <w:rPr>
                <w:rFonts w:ascii="宋体" w:hAnsi="宋体" w:cs="宋体"/>
                <w:color w:val="auto"/>
                <w:highlight w:val="none"/>
              </w:rPr>
            </w:pPr>
            <w:r>
              <w:rPr>
                <w:rFonts w:hint="eastAsia"/>
                <w:color w:val="auto"/>
                <w:highlight w:val="none"/>
                <w:lang w:val="en-US" w:eastAsia="zh-CN" w:bidi="ar"/>
              </w:rPr>
              <w:t xml:space="preserve">3</w:t>
            </w:r>
            <w:r>
              <w:rPr>
                <w:color w:val="auto"/>
                <w:highlight w:val="none"/>
              </w:rPr>
            </w:r>
            <w:r/>
          </w:p>
        </w:tc>
        <w:tc>
          <w:tcPr>
            <w:tcW w:w="863" w:type="dxa"/>
            <w:vAlign w:val="center"/>
            <w:textDirection w:val="lrTb"/>
            <w:noWrap w:val="false"/>
          </w:tcPr>
          <w:p>
            <w:pPr>
              <w:pStyle w:val="873"/>
              <w:jc w:val="center"/>
              <w:widowControl/>
              <w:rPr>
                <w:rFonts w:hint="eastAsia" w:ascii="宋体" w:hAnsi="宋体" w:cs="宋体"/>
                <w:color w:val="auto"/>
                <w:highlight w:val="none"/>
              </w:rPr>
            </w:pPr>
            <w:r>
              <w:rPr>
                <w:rFonts w:hint="eastAsia"/>
                <w:color w:val="auto"/>
                <w:highlight w:val="none"/>
                <w:lang w:bidi="ar"/>
              </w:rPr>
              <w:t xml:space="preserve">主观分</w:t>
            </w:r>
            <w:r>
              <w:rPr>
                <w:color w:val="auto"/>
                <w:highlight w:val="none"/>
              </w:rPr>
            </w:r>
            <w:r/>
          </w:p>
        </w:tc>
      </w:tr>
      <w:tr>
        <w:trPr>
          <w:trHeight w:val="427"/>
        </w:trPr>
        <w:tc>
          <w:tcPr>
            <w:gridSpan w:val="2"/>
            <w:tcW w:w="519" w:type="dxa"/>
            <w:vAlign w:val="center"/>
            <w:textDirection w:val="lrTb"/>
            <w:noWrap w:val="false"/>
          </w:tcPr>
          <w:p>
            <w:pPr>
              <w:pStyle w:val="873"/>
              <w:widowControl/>
              <w:rPr>
                <w:rFonts w:ascii="宋体" w:hAnsi="宋体" w:cs="宋体"/>
                <w:color w:val="auto"/>
                <w:highlight w:val="none"/>
              </w:rPr>
            </w:pPr>
            <w:r>
              <w:rPr>
                <w:rFonts w:hint="eastAsia"/>
                <w:color w:val="auto"/>
                <w:highlight w:val="none"/>
                <w:lang w:bidi="ar"/>
              </w:rPr>
              <w:t xml:space="preserve">2.8</w:t>
            </w:r>
            <w:r>
              <w:rPr>
                <w:color w:val="auto"/>
                <w:highlight w:val="none"/>
              </w:rPr>
            </w:r>
            <w:r/>
          </w:p>
        </w:tc>
        <w:tc>
          <w:tcPr>
            <w:tcW w:w="1180" w:type="dxa"/>
            <w:vAlign w:val="center"/>
            <w:textDirection w:val="lrTb"/>
            <w:noWrap w:val="false"/>
          </w:tcPr>
          <w:p>
            <w:pPr>
              <w:pStyle w:val="873"/>
              <w:jc w:val="center"/>
              <w:widowControl/>
              <w:rPr>
                <w:color w:val="auto"/>
                <w:highlight w:val="none"/>
              </w:rPr>
            </w:pPr>
            <w:r>
              <w:rPr>
                <w:rFonts w:hint="eastAsia"/>
                <w:color w:val="auto"/>
                <w:highlight w:val="none"/>
                <w:lang w:bidi="ar"/>
              </w:rPr>
              <w:t xml:space="preserve">绿化垃圾无害化处理</w:t>
            </w:r>
            <w:r>
              <w:rPr>
                <w:color w:val="auto"/>
                <w:highlight w:val="none"/>
              </w:rPr>
            </w:r>
            <w:r/>
          </w:p>
        </w:tc>
        <w:tc>
          <w:tcPr>
            <w:tcW w:w="6624" w:type="dxa"/>
            <w:vAlign w:val="center"/>
            <w:textDirection w:val="lrTb"/>
            <w:noWrap w:val="false"/>
          </w:tcPr>
          <w:p>
            <w:pPr>
              <w:pStyle w:val="873"/>
              <w:widowControl/>
              <w:rPr>
                <w:color w:val="auto"/>
                <w:highlight w:val="none"/>
              </w:rPr>
            </w:pPr>
            <w:r>
              <w:rPr>
                <w:rFonts w:hint="eastAsia"/>
                <w:color w:val="auto"/>
                <w:highlight w:val="none"/>
                <w:lang w:bidi="ar"/>
              </w:rPr>
              <w:t xml:space="preserve">绿化垃圾无害化处理方案：根据投标人提供的绿化垃圾无害化处理方案，资源回收方案（包括但不限于绿化垃圾无害化处理的收集、运输方式等）评分。</w:t>
            </w:r>
            <w:r>
              <w:rPr>
                <w:color w:val="auto"/>
                <w:highlight w:val="none"/>
              </w:rPr>
            </w:r>
            <w:r/>
          </w:p>
          <w:p>
            <w:pPr>
              <w:pStyle w:val="873"/>
              <w:widowControl/>
              <w:rPr>
                <w:color w:val="auto"/>
                <w:highlight w:val="none"/>
              </w:rPr>
            </w:pPr>
            <w:r>
              <w:rPr>
                <w:rFonts w:hint="eastAsia"/>
                <w:color w:val="auto"/>
                <w:highlight w:val="none"/>
                <w:lang w:bidi="ar"/>
              </w:rPr>
              <w:t xml:space="preserve">（a）垃圾处理、资源回收方案科学合理，可操作性强的得</w:t>
            </w:r>
            <w:r>
              <w:rPr>
                <w:rFonts w:hint="eastAsia"/>
                <w:color w:val="auto"/>
                <w:highlight w:val="none"/>
                <w:lang w:val="en-US" w:eastAsia="zh-CN" w:bidi="ar"/>
              </w:rPr>
              <w:t xml:space="preserve">2</w:t>
            </w:r>
            <w:r>
              <w:rPr>
                <w:rFonts w:hint="eastAsia"/>
                <w:color w:val="auto"/>
                <w:highlight w:val="none"/>
                <w:lang w:bidi="ar"/>
              </w:rPr>
              <w:t xml:space="preserve">分。</w:t>
            </w:r>
            <w:r>
              <w:rPr>
                <w:color w:val="auto"/>
                <w:highlight w:val="none"/>
              </w:rPr>
            </w:r>
            <w:r/>
          </w:p>
          <w:p>
            <w:pPr>
              <w:pStyle w:val="873"/>
              <w:widowControl/>
              <w:rPr>
                <w:color w:val="auto"/>
                <w:highlight w:val="none"/>
              </w:rPr>
            </w:pPr>
            <w:r>
              <w:rPr>
                <w:rFonts w:hint="eastAsia"/>
                <w:color w:val="auto"/>
                <w:highlight w:val="none"/>
                <w:lang w:bidi="ar"/>
              </w:rPr>
              <w:t xml:space="preserve">（b）垃圾处理、资源回收方案简单的得1分。</w:t>
            </w:r>
            <w:r>
              <w:rPr>
                <w:color w:val="auto"/>
                <w:highlight w:val="none"/>
              </w:rPr>
            </w:r>
            <w:r/>
          </w:p>
          <w:p>
            <w:pPr>
              <w:pStyle w:val="873"/>
              <w:widowControl/>
              <w:rPr>
                <w:color w:val="auto"/>
                <w:highlight w:val="none"/>
              </w:rPr>
            </w:pPr>
            <w:r>
              <w:rPr>
                <w:rFonts w:hint="eastAsia"/>
                <w:color w:val="auto"/>
                <w:highlight w:val="none"/>
                <w:lang w:bidi="ar"/>
              </w:rPr>
              <w:t xml:space="preserve">（c）没有无害化处理方案、资源回收方案的不得分。</w:t>
            </w:r>
            <w:r>
              <w:rPr>
                <w:color w:val="auto"/>
                <w:highlight w:val="none"/>
              </w:rPr>
            </w:r>
            <w:r/>
          </w:p>
        </w:tc>
        <w:tc>
          <w:tcPr>
            <w:tcW w:w="571" w:type="dxa"/>
            <w:vAlign w:val="center"/>
            <w:textDirection w:val="lrTb"/>
            <w:noWrap w:val="false"/>
          </w:tcPr>
          <w:p>
            <w:pPr>
              <w:pStyle w:val="873"/>
              <w:jc w:val="center"/>
              <w:widowControl/>
              <w:rPr>
                <w:rFonts w:hint="eastAsia" w:eastAsia="宋体"/>
                <w:color w:val="auto"/>
                <w:highlight w:val="none"/>
              </w:rPr>
            </w:pPr>
            <w:r>
              <w:rPr>
                <w:rFonts w:hint="eastAsia"/>
                <w:color w:val="auto"/>
                <w:highlight w:val="none"/>
                <w:lang w:val="en-US" w:eastAsia="zh-CN" w:bidi="ar"/>
              </w:rPr>
              <w:t xml:space="preserve">2</w:t>
            </w:r>
            <w:r>
              <w:rPr>
                <w:color w:val="auto"/>
                <w:highlight w:val="none"/>
              </w:rPr>
            </w:r>
            <w:r/>
          </w:p>
        </w:tc>
        <w:tc>
          <w:tcPr>
            <w:tcW w:w="863" w:type="dxa"/>
            <w:vAlign w:val="center"/>
            <w:textDirection w:val="lrTb"/>
            <w:noWrap w:val="false"/>
          </w:tcPr>
          <w:p>
            <w:pPr>
              <w:pStyle w:val="873"/>
              <w:jc w:val="center"/>
              <w:widowControl/>
              <w:rPr>
                <w:color w:val="auto"/>
                <w:highlight w:val="none"/>
              </w:rPr>
            </w:pPr>
            <w:r>
              <w:rPr>
                <w:rFonts w:hint="eastAsia"/>
                <w:color w:val="auto"/>
                <w:highlight w:val="none"/>
                <w:lang w:bidi="ar"/>
              </w:rPr>
              <w:t xml:space="preserve">主观分</w:t>
            </w:r>
            <w:r>
              <w:rPr>
                <w:color w:val="auto"/>
                <w:highlight w:val="none"/>
              </w:rPr>
            </w:r>
            <w:r/>
          </w:p>
        </w:tc>
      </w:tr>
      <w:tr>
        <w:trPr>
          <w:trHeight w:val="672"/>
        </w:trPr>
        <w:tc>
          <w:tcPr>
            <w:gridSpan w:val="2"/>
            <w:tcW w:w="519" w:type="dxa"/>
            <w:vAlign w:val="center"/>
            <w:textDirection w:val="lrTb"/>
            <w:noWrap w:val="false"/>
          </w:tcPr>
          <w:p>
            <w:pPr>
              <w:pStyle w:val="873"/>
              <w:widowControl/>
              <w:rPr>
                <w:rFonts w:ascii="宋体" w:hAnsi="宋体" w:cs="宋体"/>
                <w:color w:val="auto"/>
                <w:spacing w:val="-2"/>
                <w:highlight w:val="none"/>
              </w:rPr>
            </w:pPr>
            <w:r>
              <w:rPr>
                <w:rFonts w:hint="eastAsia"/>
                <w:color w:val="auto"/>
                <w:highlight w:val="none"/>
                <w:lang w:bidi="ar"/>
              </w:rPr>
              <w:t xml:space="preserve">2.9</w:t>
            </w:r>
            <w:r>
              <w:rPr>
                <w:color w:val="auto"/>
                <w:highlight w:val="none"/>
              </w:rPr>
            </w:r>
            <w:r/>
          </w:p>
        </w:tc>
        <w:tc>
          <w:tcPr>
            <w:tcW w:w="1180" w:type="dxa"/>
            <w:vAlign w:val="center"/>
            <w:textDirection w:val="lrTb"/>
            <w:noWrap w:val="false"/>
          </w:tcPr>
          <w:p>
            <w:pPr>
              <w:pStyle w:val="873"/>
              <w:widowControl/>
              <w:rPr>
                <w:rFonts w:hint="eastAsia" w:ascii="宋体" w:hAnsi="宋体" w:cs="宋体"/>
                <w:color w:val="auto"/>
                <w:spacing w:val="-1"/>
                <w:highlight w:val="none"/>
              </w:rPr>
            </w:pPr>
            <w:r>
              <w:rPr>
                <w:rFonts w:hint="eastAsia"/>
                <w:color w:val="auto"/>
                <w:highlight w:val="none"/>
                <w:lang w:bidi="ar"/>
              </w:rPr>
              <w:t xml:space="preserve">各类工单处理方案</w:t>
            </w:r>
            <w:r>
              <w:rPr>
                <w:color w:val="auto"/>
                <w:highlight w:val="none"/>
              </w:rPr>
            </w:r>
            <w:r/>
          </w:p>
        </w:tc>
        <w:tc>
          <w:tcPr>
            <w:tcW w:w="6624" w:type="dxa"/>
            <w:vAlign w:val="center"/>
            <w:textDirection w:val="lrTb"/>
            <w:noWrap w:val="false"/>
          </w:tcPr>
          <w:p>
            <w:pPr>
              <w:pStyle w:val="873"/>
              <w:widowControl/>
              <w:rPr>
                <w:color w:val="auto"/>
                <w:highlight w:val="none"/>
              </w:rPr>
            </w:pPr>
            <w:r>
              <w:rPr>
                <w:rFonts w:hint="eastAsia"/>
                <w:color w:val="auto"/>
                <w:highlight w:val="none"/>
                <w:lang w:bidi="ar"/>
              </w:rPr>
              <w:t xml:space="preserve">评委根据投标人提供的针对市绿化园林局整改通知单、12345工单、数字化城管工单、信访、投诉、举报、媒体曝光等整改事项提供处理方案进行评分。</w:t>
            </w:r>
            <w:r>
              <w:rPr>
                <w:color w:val="auto"/>
                <w:highlight w:val="none"/>
              </w:rPr>
            </w:r>
            <w:r/>
          </w:p>
          <w:p>
            <w:pPr>
              <w:pStyle w:val="873"/>
              <w:widowControl/>
              <w:rPr>
                <w:color w:val="auto"/>
                <w:highlight w:val="none"/>
              </w:rPr>
            </w:pPr>
            <w:r>
              <w:rPr>
                <w:rFonts w:hint="eastAsia"/>
                <w:color w:val="auto"/>
                <w:highlight w:val="none"/>
                <w:lang w:bidi="ar"/>
              </w:rPr>
              <w:t xml:space="preserve">（a）方案中关于处理方法、时效、满意度等方面贴合实际、操作性强、科学合理的，</w:t>
            </w:r>
            <w:r>
              <w:rPr>
                <w:rFonts w:hint="eastAsia"/>
                <w:color w:val="auto"/>
                <w:highlight w:val="none"/>
                <w:lang w:val="en-US" w:eastAsia="zh-CN" w:bidi="ar"/>
              </w:rPr>
              <w:t xml:space="preserve">3</w:t>
            </w:r>
            <w:r>
              <w:rPr>
                <w:rFonts w:hint="eastAsia"/>
                <w:color w:val="auto"/>
                <w:highlight w:val="none"/>
                <w:lang w:bidi="ar"/>
              </w:rPr>
              <w:t xml:space="preserve">分。</w:t>
            </w:r>
            <w:r>
              <w:rPr>
                <w:color w:val="auto"/>
                <w:highlight w:val="none"/>
              </w:rPr>
            </w:r>
            <w:r/>
          </w:p>
          <w:p>
            <w:pPr>
              <w:pStyle w:val="873"/>
              <w:widowControl/>
              <w:rPr>
                <w:color w:val="auto"/>
                <w:highlight w:val="none"/>
              </w:rPr>
            </w:pPr>
            <w:r>
              <w:rPr>
                <w:rFonts w:hint="eastAsia"/>
                <w:color w:val="auto"/>
                <w:highlight w:val="none"/>
                <w:lang w:bidi="ar"/>
              </w:rPr>
              <w:t xml:space="preserve">（b）方案中关于处理方法、时效、满意度等方面较为贴合实际、操作性</w:t>
            </w:r>
            <w:r>
              <w:rPr>
                <w:rFonts w:hint="eastAsia"/>
                <w:color w:val="auto"/>
                <w:highlight w:val="none"/>
                <w:lang w:eastAsia="zh-CN" w:bidi="ar"/>
              </w:rPr>
              <w:t xml:space="preserve">较强</w:t>
            </w:r>
            <w:r>
              <w:rPr>
                <w:rFonts w:hint="eastAsia"/>
                <w:color w:val="auto"/>
                <w:highlight w:val="none"/>
                <w:lang w:bidi="ar"/>
              </w:rPr>
              <w:t xml:space="preserve">、较为科学合理的，得</w:t>
            </w:r>
            <w:r>
              <w:rPr>
                <w:rFonts w:hint="eastAsia"/>
                <w:color w:val="auto"/>
                <w:highlight w:val="none"/>
                <w:lang w:val="en-US" w:eastAsia="zh-CN" w:bidi="ar"/>
              </w:rPr>
              <w:t xml:space="preserve">2</w:t>
            </w:r>
            <w:r>
              <w:rPr>
                <w:rFonts w:hint="eastAsia"/>
                <w:color w:val="auto"/>
                <w:highlight w:val="none"/>
                <w:lang w:bidi="ar"/>
              </w:rPr>
              <w:t xml:space="preserve">分。</w:t>
            </w:r>
            <w:r>
              <w:rPr>
                <w:color w:val="auto"/>
                <w:highlight w:val="none"/>
              </w:rPr>
            </w:r>
            <w:r/>
          </w:p>
          <w:p>
            <w:pPr>
              <w:pStyle w:val="873"/>
              <w:widowControl/>
              <w:rPr>
                <w:color w:val="auto"/>
                <w:highlight w:val="none"/>
              </w:rPr>
            </w:pPr>
            <w:r>
              <w:rPr>
                <w:rFonts w:hint="eastAsia"/>
                <w:color w:val="auto"/>
                <w:highlight w:val="none"/>
                <w:lang w:bidi="ar"/>
              </w:rPr>
              <w:t xml:space="preserve">（c）方案中关于处理方法、时效、满意度等方面较全，但内容简单的，得</w:t>
            </w:r>
            <w:r>
              <w:rPr>
                <w:rFonts w:hint="eastAsia"/>
                <w:color w:val="auto"/>
                <w:highlight w:val="none"/>
                <w:lang w:val="en-US" w:eastAsia="zh-CN" w:bidi="ar"/>
              </w:rPr>
              <w:t xml:space="preserve">1</w:t>
            </w:r>
            <w:r>
              <w:rPr>
                <w:rFonts w:hint="eastAsia"/>
                <w:color w:val="auto"/>
                <w:highlight w:val="none"/>
                <w:lang w:bidi="ar"/>
              </w:rPr>
              <w:t xml:space="preserve">分。</w:t>
            </w:r>
            <w:r>
              <w:rPr>
                <w:color w:val="auto"/>
                <w:highlight w:val="none"/>
              </w:rPr>
            </w:r>
            <w:r/>
          </w:p>
          <w:p>
            <w:pPr>
              <w:pStyle w:val="873"/>
              <w:widowControl/>
              <w:rPr>
                <w:rFonts w:hint="eastAsia" w:ascii="宋体" w:hAnsi="宋体" w:cs="宋体"/>
                <w:color w:val="auto"/>
                <w:highlight w:val="none"/>
              </w:rPr>
            </w:pPr>
            <w:r>
              <w:rPr>
                <w:rFonts w:hint="eastAsia"/>
                <w:color w:val="auto"/>
                <w:highlight w:val="none"/>
                <w:lang w:bidi="ar"/>
              </w:rPr>
              <w:t xml:space="preserve">（d）没有提供各类工单处理方案的不得分。</w:t>
            </w:r>
            <w:r>
              <w:rPr>
                <w:color w:val="auto"/>
                <w:highlight w:val="none"/>
              </w:rPr>
            </w:r>
            <w:r/>
          </w:p>
        </w:tc>
        <w:tc>
          <w:tcPr>
            <w:tcW w:w="571" w:type="dxa"/>
            <w:vAlign w:val="center"/>
            <w:textDirection w:val="lrTb"/>
            <w:noWrap w:val="false"/>
          </w:tcPr>
          <w:p>
            <w:pPr>
              <w:pStyle w:val="873"/>
              <w:jc w:val="center"/>
              <w:widowControl/>
              <w:rPr>
                <w:rFonts w:hint="eastAsia" w:ascii="宋体" w:hAnsi="宋体" w:cs="宋体"/>
                <w:color w:val="auto"/>
                <w:highlight w:val="none"/>
              </w:rPr>
            </w:pPr>
            <w:r>
              <w:rPr>
                <w:rFonts w:hint="eastAsia"/>
                <w:color w:val="auto"/>
                <w:highlight w:val="none"/>
                <w:lang w:val="en-US" w:eastAsia="zh-CN" w:bidi="ar"/>
              </w:rPr>
              <w:t xml:space="preserve">3</w:t>
            </w:r>
            <w:r>
              <w:rPr>
                <w:color w:val="auto"/>
                <w:highlight w:val="none"/>
              </w:rPr>
            </w:r>
            <w:r/>
          </w:p>
        </w:tc>
        <w:tc>
          <w:tcPr>
            <w:tcW w:w="863" w:type="dxa"/>
            <w:vAlign w:val="center"/>
            <w:textDirection w:val="lrTb"/>
            <w:noWrap w:val="false"/>
          </w:tcPr>
          <w:p>
            <w:pPr>
              <w:pStyle w:val="873"/>
              <w:jc w:val="center"/>
              <w:widowControl/>
              <w:rPr>
                <w:rFonts w:ascii="宋体" w:hAnsi="宋体" w:cs="宋体"/>
                <w:color w:val="auto"/>
                <w:highlight w:val="none"/>
              </w:rPr>
            </w:pPr>
            <w:r>
              <w:rPr>
                <w:rFonts w:hint="eastAsia"/>
                <w:color w:val="auto"/>
                <w:highlight w:val="none"/>
                <w:lang w:bidi="ar"/>
              </w:rPr>
              <w:t xml:space="preserve">主观分</w:t>
            </w:r>
            <w:r>
              <w:rPr>
                <w:color w:val="auto"/>
                <w:highlight w:val="none"/>
              </w:rPr>
            </w:r>
            <w:r/>
          </w:p>
        </w:tc>
      </w:tr>
      <w:tr>
        <w:trPr>
          <w:trHeight w:val="565"/>
        </w:trPr>
        <w:tc>
          <w:tcPr>
            <w:gridSpan w:val="5"/>
            <w:tcW w:w="8894" w:type="dxa"/>
            <w:vAlign w:val="center"/>
            <w:textDirection w:val="lrTb"/>
            <w:noWrap w:val="false"/>
          </w:tcPr>
          <w:p>
            <w:pPr>
              <w:pStyle w:val="873"/>
              <w:widowControl/>
              <w:rPr>
                <w:rFonts w:hint="eastAsia" w:ascii="宋体" w:hAnsi="宋体" w:cs="宋体"/>
                <w:color w:val="auto"/>
                <w:highlight w:val="none"/>
              </w:rPr>
            </w:pPr>
            <w:r>
              <w:rPr>
                <w:rFonts w:hint="eastAsia"/>
                <w:b/>
                <w:bCs/>
                <w:color w:val="auto"/>
                <w:highlight w:val="none"/>
                <w:lang w:bidi="ar"/>
              </w:rPr>
              <w:t xml:space="preserve">业绩</w:t>
            </w:r>
            <w:r>
              <w:rPr>
                <w:color w:val="auto"/>
                <w:highlight w:val="none"/>
              </w:rPr>
            </w:r>
            <w:r/>
          </w:p>
        </w:tc>
        <w:tc>
          <w:tcPr>
            <w:tcW w:w="863" w:type="dxa"/>
            <w:vAlign w:val="center"/>
            <w:textDirection w:val="lrTb"/>
            <w:noWrap w:val="false"/>
          </w:tcPr>
          <w:p>
            <w:pPr>
              <w:pStyle w:val="873"/>
              <w:widowControl/>
              <w:rPr>
                <w:rFonts w:ascii="宋体" w:hAnsi="宋体" w:cs="宋体"/>
                <w:color w:val="auto"/>
                <w:highlight w:val="none"/>
              </w:rPr>
            </w:pPr>
            <w:r>
              <w:rPr>
                <w:rFonts w:ascii="宋体" w:hAnsi="宋体" w:cs="宋体"/>
                <w:color w:val="auto"/>
                <w:highlight w:val="none"/>
              </w:rPr>
            </w:r>
            <w:r>
              <w:rPr>
                <w:color w:val="auto"/>
                <w:highlight w:val="none"/>
              </w:rPr>
            </w:r>
            <w:r/>
          </w:p>
        </w:tc>
      </w:tr>
      <w:tr>
        <w:trPr>
          <w:trHeight w:val="555"/>
        </w:trPr>
        <w:tc>
          <w:tcPr>
            <w:gridSpan w:val="2"/>
            <w:tcW w:w="519" w:type="dxa"/>
            <w:vAlign w:val="center"/>
            <w:textDirection w:val="lrTb"/>
            <w:noWrap w:val="false"/>
          </w:tcPr>
          <w:p>
            <w:pPr>
              <w:pStyle w:val="873"/>
              <w:widowControl/>
              <w:rPr>
                <w:rFonts w:ascii="宋体" w:hAnsi="宋体" w:cs="宋体"/>
                <w:color w:val="auto"/>
                <w:spacing w:val="-3"/>
                <w:highlight w:val="none"/>
              </w:rPr>
            </w:pPr>
            <w:r>
              <w:rPr>
                <w:rFonts w:hint="eastAsia"/>
                <w:color w:val="auto"/>
                <w:highlight w:val="none"/>
                <w:lang w:bidi="ar"/>
              </w:rPr>
              <w:t xml:space="preserve">3.1</w:t>
            </w:r>
            <w:r>
              <w:rPr>
                <w:color w:val="auto"/>
                <w:highlight w:val="none"/>
              </w:rPr>
            </w:r>
            <w:r/>
          </w:p>
        </w:tc>
        <w:tc>
          <w:tcPr>
            <w:tcW w:w="1180" w:type="dxa"/>
            <w:vAlign w:val="center"/>
            <w:textDirection w:val="lrTb"/>
            <w:noWrap w:val="false"/>
          </w:tcPr>
          <w:p>
            <w:pPr>
              <w:pStyle w:val="873"/>
              <w:jc w:val="center"/>
              <w:widowControl/>
              <w:rPr>
                <w:rFonts w:hint="eastAsia" w:ascii="宋体" w:hAnsi="宋体" w:cs="宋体"/>
                <w:color w:val="auto"/>
                <w:spacing w:val="-1"/>
                <w:highlight w:val="none"/>
              </w:rPr>
            </w:pPr>
            <w:r>
              <w:rPr>
                <w:rFonts w:hint="eastAsia"/>
                <w:color w:val="auto"/>
                <w:highlight w:val="none"/>
                <w:lang w:bidi="ar"/>
              </w:rPr>
              <w:t xml:space="preserve">业绩</w:t>
            </w:r>
            <w:r>
              <w:rPr>
                <w:color w:val="auto"/>
                <w:highlight w:val="none"/>
              </w:rPr>
            </w:r>
            <w:r/>
          </w:p>
        </w:tc>
        <w:tc>
          <w:tcPr>
            <w:tcW w:w="6624" w:type="dxa"/>
            <w:vAlign w:val="center"/>
            <w:textDirection w:val="lrTb"/>
            <w:noWrap w:val="false"/>
          </w:tcPr>
          <w:p>
            <w:pPr>
              <w:pStyle w:val="873"/>
              <w:widowControl/>
              <w:rPr>
                <w:rFonts w:hint="eastAsia" w:ascii="宋体" w:hAnsi="宋体" w:cs="宋体"/>
                <w:color w:val="auto"/>
                <w:highlight w:val="none"/>
              </w:rPr>
            </w:pPr>
            <w:r>
              <w:rPr>
                <w:rFonts w:hint="eastAsia"/>
                <w:color w:val="auto"/>
                <w:highlight w:val="none"/>
                <w:lang w:bidi="ar"/>
              </w:rPr>
              <w:t xml:space="preserve">投标人自202</w:t>
            </w:r>
            <w:r>
              <w:rPr>
                <w:rFonts w:hint="eastAsia"/>
                <w:color w:val="auto"/>
                <w:highlight w:val="none"/>
                <w:lang w:val="en-US" w:eastAsia="zh-CN" w:bidi="ar"/>
              </w:rPr>
              <w:t xml:space="preserve">3</w:t>
            </w:r>
            <w:r>
              <w:rPr>
                <w:rFonts w:hint="eastAsia"/>
                <w:color w:val="auto"/>
                <w:highlight w:val="none"/>
                <w:lang w:bidi="ar"/>
              </w:rPr>
              <w:t xml:space="preserve">年1月1日（含）以来承担过类似绿化养护项目</w:t>
            </w:r>
            <w:r>
              <w:rPr>
                <w:rFonts w:hint="eastAsia"/>
                <w:color w:val="auto"/>
                <w:highlight w:val="none"/>
                <w:lang w:eastAsia="zh-CN" w:bidi="ar"/>
              </w:rPr>
              <w:t xml:space="preserve">（至少包含与本项目采购需求类似的城市道路</w:t>
            </w:r>
            <w:r>
              <w:rPr>
                <w:rFonts w:hint="eastAsia"/>
                <w:b/>
                <w:bCs/>
                <w:color w:val="auto"/>
                <w:highlight w:val="none"/>
                <w:lang w:val="en-US" w:eastAsia="zh-CN" w:bidi="ar"/>
              </w:rPr>
              <w:t xml:space="preserve">或</w:t>
            </w:r>
            <w:r>
              <w:rPr>
                <w:rFonts w:hint="eastAsia"/>
                <w:color w:val="auto"/>
                <w:highlight w:val="none"/>
                <w:lang w:eastAsia="zh-CN" w:bidi="ar"/>
              </w:rPr>
              <w:t xml:space="preserve">公园</w:t>
            </w:r>
            <w:r>
              <w:rPr>
                <w:rFonts w:hint="eastAsia"/>
                <w:b/>
                <w:bCs/>
                <w:color w:val="auto"/>
                <w:highlight w:val="none"/>
                <w:lang w:val="en-US" w:eastAsia="zh-CN" w:bidi="ar"/>
              </w:rPr>
              <w:t xml:space="preserve">或</w:t>
            </w:r>
            <w:r>
              <w:rPr>
                <w:rFonts w:hint="eastAsia"/>
                <w:color w:val="auto"/>
                <w:highlight w:val="none"/>
                <w:lang w:eastAsia="zh-CN" w:bidi="ar"/>
              </w:rPr>
              <w:t xml:space="preserve">绿地绿化养护服务业绩）</w:t>
            </w:r>
            <w:r>
              <w:rPr>
                <w:rFonts w:hint="eastAsia"/>
                <w:color w:val="auto"/>
                <w:highlight w:val="none"/>
                <w:lang w:bidi="ar"/>
              </w:rPr>
              <w:t xml:space="preserve">，每个得2分,最高得6分，没有不得分。（提供有效合同及服务期任意一次结算发票，缺项或未提供的不得分）</w:t>
            </w:r>
            <w:r>
              <w:rPr>
                <w:color w:val="auto"/>
                <w:highlight w:val="none"/>
              </w:rPr>
            </w:r>
            <w:r/>
          </w:p>
        </w:tc>
        <w:tc>
          <w:tcPr>
            <w:tcW w:w="571" w:type="dxa"/>
            <w:vAlign w:val="center"/>
            <w:textDirection w:val="lrTb"/>
            <w:noWrap w:val="false"/>
          </w:tcPr>
          <w:p>
            <w:pPr>
              <w:pStyle w:val="873"/>
              <w:jc w:val="center"/>
              <w:widowControl/>
              <w:rPr>
                <w:rFonts w:ascii="宋体" w:hAnsi="宋体" w:cs="宋体"/>
                <w:color w:val="auto"/>
                <w:highlight w:val="none"/>
              </w:rPr>
            </w:pPr>
            <w:r>
              <w:rPr>
                <w:rFonts w:hint="eastAsia"/>
                <w:color w:val="auto"/>
                <w:highlight w:val="none"/>
                <w:lang w:bidi="ar"/>
              </w:rPr>
              <w:t xml:space="preserve">6</w:t>
            </w:r>
            <w:r>
              <w:rPr>
                <w:color w:val="auto"/>
                <w:highlight w:val="none"/>
              </w:rPr>
            </w:r>
            <w:r/>
          </w:p>
        </w:tc>
        <w:tc>
          <w:tcPr>
            <w:tcW w:w="863" w:type="dxa"/>
            <w:vAlign w:val="center"/>
            <w:textDirection w:val="lrTb"/>
            <w:noWrap w:val="false"/>
          </w:tcPr>
          <w:p>
            <w:pPr>
              <w:pStyle w:val="873"/>
              <w:jc w:val="center"/>
              <w:widowControl/>
              <w:rPr>
                <w:rFonts w:ascii="宋体" w:hAnsi="宋体" w:cs="宋体"/>
                <w:color w:val="auto"/>
                <w:highlight w:val="none"/>
              </w:rPr>
            </w:pPr>
            <w:r>
              <w:rPr>
                <w:rFonts w:hint="eastAsia"/>
                <w:color w:val="auto"/>
                <w:highlight w:val="none"/>
                <w:lang w:bidi="ar"/>
              </w:rPr>
              <w:t xml:space="preserve">客观分</w:t>
            </w:r>
            <w:r>
              <w:rPr>
                <w:color w:val="auto"/>
                <w:highlight w:val="none"/>
              </w:rPr>
            </w:r>
            <w:r/>
          </w:p>
        </w:tc>
      </w:tr>
      <w:tr>
        <w:trPr>
          <w:trHeight w:val="555"/>
        </w:trPr>
        <w:tc>
          <w:tcPr>
            <w:gridSpan w:val="5"/>
            <w:tcW w:w="8894" w:type="dxa"/>
            <w:vAlign w:val="center"/>
            <w:textDirection w:val="lrTb"/>
            <w:noWrap w:val="false"/>
          </w:tcPr>
          <w:p>
            <w:pPr>
              <w:pStyle w:val="873"/>
              <w:jc w:val="left"/>
              <w:widowControl/>
              <w:rPr>
                <w:rFonts w:hint="eastAsia"/>
                <w:color w:val="auto"/>
                <w:highlight w:val="none"/>
              </w:rPr>
            </w:pPr>
            <w:r>
              <w:rPr>
                <w:rFonts w:hint="eastAsia"/>
                <w:b/>
                <w:bCs/>
                <w:color w:val="auto"/>
                <w:highlight w:val="none"/>
                <w:lang w:bidi="ar"/>
              </w:rPr>
              <w:t xml:space="preserve">履约能力</w:t>
            </w:r>
            <w:r>
              <w:rPr>
                <w:color w:val="auto"/>
                <w:highlight w:val="none"/>
              </w:rPr>
            </w:r>
            <w:r/>
          </w:p>
        </w:tc>
        <w:tc>
          <w:tcPr>
            <w:tcW w:w="863" w:type="dxa"/>
            <w:vAlign w:val="center"/>
            <w:textDirection w:val="lrTb"/>
            <w:noWrap w:val="false"/>
          </w:tcPr>
          <w:p>
            <w:pPr>
              <w:pStyle w:val="873"/>
              <w:jc w:val="center"/>
              <w:widowControl/>
              <w:rPr>
                <w:rFonts w:hint="eastAsia"/>
                <w:color w:val="auto"/>
                <w:highlight w:val="none"/>
              </w:rPr>
            </w:pPr>
            <w:r>
              <w:rPr>
                <w:rFonts w:hint="eastAsia"/>
                <w:color w:val="auto"/>
                <w:highlight w:val="none"/>
                <w:lang w:bidi="ar"/>
              </w:rPr>
            </w:r>
            <w:r>
              <w:rPr>
                <w:color w:val="auto"/>
                <w:highlight w:val="none"/>
              </w:rPr>
            </w:r>
            <w:r/>
          </w:p>
        </w:tc>
      </w:tr>
      <w:tr>
        <w:trPr>
          <w:trHeight w:val="1860"/>
        </w:trPr>
        <w:tc>
          <w:tcPr>
            <w:gridSpan w:val="2"/>
            <w:tcW w:w="519" w:type="dxa"/>
            <w:vAlign w:val="center"/>
            <w:textDirection w:val="lrTb"/>
            <w:noWrap/>
          </w:tcPr>
          <w:p>
            <w:pPr>
              <w:pStyle w:val="873"/>
              <w:widowControl/>
              <w:rPr>
                <w:color w:val="auto"/>
                <w:highlight w:val="none"/>
              </w:rPr>
            </w:pPr>
            <w:r>
              <w:rPr>
                <w:rFonts w:hint="eastAsia"/>
                <w:color w:val="auto"/>
                <w:highlight w:val="none"/>
                <w:lang w:bidi="ar"/>
              </w:rPr>
              <w:t xml:space="preserve">4.1</w:t>
            </w:r>
            <w:r>
              <w:rPr>
                <w:color w:val="auto"/>
                <w:highlight w:val="none"/>
              </w:rPr>
            </w:r>
            <w:r/>
          </w:p>
        </w:tc>
        <w:tc>
          <w:tcPr>
            <w:tcW w:w="1178" w:type="dxa"/>
            <w:vAlign w:val="center"/>
            <w:textDirection w:val="lrTb"/>
            <w:noWrap w:val="false"/>
          </w:tcPr>
          <w:p>
            <w:pPr>
              <w:pStyle w:val="873"/>
              <w:jc w:val="center"/>
              <w:widowControl/>
              <w:rPr>
                <w:color w:val="auto"/>
                <w:highlight w:val="none"/>
              </w:rPr>
            </w:pPr>
            <w:r>
              <w:rPr>
                <w:rFonts w:hint="eastAsia"/>
                <w:color w:val="auto"/>
                <w:highlight w:val="none"/>
                <w:lang w:bidi="ar"/>
              </w:rPr>
              <w:t xml:space="preserve">项目负责人</w:t>
            </w:r>
            <w:r>
              <w:rPr>
                <w:color w:val="auto"/>
                <w:highlight w:val="none"/>
              </w:rPr>
            </w:r>
            <w:r/>
          </w:p>
        </w:tc>
        <w:tc>
          <w:tcPr>
            <w:tcW w:w="6626" w:type="dxa"/>
            <w:vAlign w:val="center"/>
            <w:textDirection w:val="lrTb"/>
            <w:noWrap w:val="false"/>
          </w:tcPr>
          <w:p>
            <w:pPr>
              <w:pStyle w:val="999"/>
              <w:ind w:left="126"/>
              <w:spacing w:before="68" w:line="220" w:lineRule="auto"/>
              <w:rPr>
                <w:color w:val="auto"/>
                <w:highlight w:val="none"/>
              </w:rPr>
            </w:pPr>
            <w:r>
              <w:rPr>
                <w:rFonts w:hint="eastAsia"/>
                <w:color w:val="auto"/>
                <w:highlight w:val="none"/>
                <w:lang w:eastAsia="zh-CN" w:bidi="ar"/>
              </w:rPr>
              <w:t xml:space="preserve">项目负责人（与项目技术负责人不得兼任）具有大专及以上学历和</w:t>
            </w:r>
            <w:r>
              <w:rPr>
                <w:rFonts w:hint="eastAsia"/>
                <w:color w:val="auto"/>
                <w:highlight w:val="none"/>
                <w:lang w:eastAsia="zh-CN"/>
              </w:rPr>
              <w:t xml:space="preserve">园林类专业高级职称，并且具有安全生产考核合格证B类的得4分，</w:t>
            </w:r>
            <w:r>
              <w:rPr>
                <w:rFonts w:hint="eastAsia"/>
                <w:color w:val="auto"/>
                <w:highlight w:val="none"/>
                <w:lang w:eastAsia="zh-CN" w:bidi="ar"/>
              </w:rPr>
              <w:t xml:space="preserve">具有大专及以上学历和</w:t>
            </w:r>
            <w:r>
              <w:rPr>
                <w:rFonts w:hint="eastAsia"/>
                <w:color w:val="auto"/>
                <w:highlight w:val="none"/>
                <w:lang w:eastAsia="zh-CN"/>
              </w:rPr>
              <w:t xml:space="preserve">园林类专业中级职称，并且具有安全生产考核合格证B类的得2分。（专业以职称证书为准，职称证书无法反映专业的，专业以毕业证书为准。提供相关证书，</w:t>
            </w:r>
            <w:r>
              <w:rPr>
                <w:rFonts w:hint="eastAsia" w:ascii="宋体" w:hAnsi="宋体" w:eastAsia="宋体" w:cs="宋体"/>
                <w:color w:val="auto"/>
                <w:spacing w:val="1"/>
                <w:highlight w:val="none"/>
                <w:lang w:eastAsia="zh-CN"/>
              </w:rPr>
              <w:t xml:space="preserve">供应商为其缴纳的社保证明（202</w:t>
            </w:r>
            <w:r>
              <w:rPr>
                <w:rFonts w:hint="eastAsia" w:ascii="宋体" w:hAnsi="宋体" w:eastAsia="宋体" w:cs="宋体"/>
                <w:color w:val="auto"/>
                <w:spacing w:val="1"/>
                <w:highlight w:val="none"/>
                <w:lang w:val="en-US" w:eastAsia="zh-CN"/>
              </w:rPr>
              <w:t xml:space="preserve">5</w:t>
            </w:r>
            <w:r>
              <w:rPr>
                <w:rFonts w:hint="eastAsia" w:ascii="宋体" w:hAnsi="宋体" w:eastAsia="宋体" w:cs="宋体"/>
                <w:color w:val="auto"/>
                <w:spacing w:val="1"/>
                <w:highlight w:val="none"/>
                <w:lang w:eastAsia="zh-CN"/>
              </w:rPr>
              <w:t xml:space="preserve">年1</w:t>
            </w:r>
            <w:r>
              <w:rPr>
                <w:rFonts w:hint="eastAsia" w:ascii="宋体" w:hAnsi="宋体" w:eastAsia="宋体" w:cs="宋体"/>
                <w:color w:val="auto"/>
                <w:spacing w:val="1"/>
                <w:highlight w:val="none"/>
                <w:lang w:val="en-US" w:eastAsia="zh-CN"/>
              </w:rPr>
              <w:t xml:space="preserve">2</w:t>
            </w:r>
            <w:r>
              <w:rPr>
                <w:rFonts w:hint="eastAsia" w:ascii="宋体" w:hAnsi="宋体" w:eastAsia="宋体" w:cs="宋体"/>
                <w:color w:val="auto"/>
                <w:spacing w:val="1"/>
                <w:highlight w:val="none"/>
                <w:lang w:eastAsia="zh-CN"/>
              </w:rPr>
              <w:t xml:space="preserve">月以来任意一个月）。</w:t>
            </w:r>
            <w:r>
              <w:rPr>
                <w:color w:val="auto"/>
                <w:highlight w:val="none"/>
              </w:rPr>
            </w:r>
            <w:r/>
          </w:p>
        </w:tc>
        <w:tc>
          <w:tcPr>
            <w:tcW w:w="569" w:type="dxa"/>
            <w:vAlign w:val="center"/>
            <w:textDirection w:val="lrTb"/>
            <w:noWrap/>
          </w:tcPr>
          <w:p>
            <w:pPr>
              <w:pStyle w:val="873"/>
              <w:jc w:val="center"/>
              <w:widowControl/>
              <w:rPr>
                <w:color w:val="auto"/>
                <w:highlight w:val="none"/>
              </w:rPr>
            </w:pPr>
            <w:r>
              <w:rPr>
                <w:rFonts w:hint="eastAsia"/>
                <w:color w:val="auto"/>
                <w:highlight w:val="none"/>
                <w:lang w:bidi="ar"/>
              </w:rPr>
              <w:t xml:space="preserve">4</w:t>
            </w:r>
            <w:r>
              <w:rPr>
                <w:color w:val="auto"/>
                <w:highlight w:val="none"/>
              </w:rPr>
            </w:r>
            <w:r/>
          </w:p>
        </w:tc>
        <w:tc>
          <w:tcPr>
            <w:tcW w:w="863" w:type="dxa"/>
            <w:vAlign w:val="center"/>
            <w:textDirection w:val="lrTb"/>
            <w:noWrap/>
          </w:tcPr>
          <w:p>
            <w:pPr>
              <w:pStyle w:val="873"/>
              <w:jc w:val="center"/>
              <w:widowControl/>
              <w:rPr>
                <w:color w:val="auto"/>
                <w:highlight w:val="none"/>
              </w:rPr>
            </w:pPr>
            <w:r>
              <w:rPr>
                <w:rFonts w:hint="eastAsia"/>
                <w:color w:val="auto"/>
                <w:highlight w:val="none"/>
                <w:lang w:bidi="ar"/>
              </w:rPr>
              <w:t xml:space="preserve">客观分</w:t>
            </w:r>
            <w:r>
              <w:rPr>
                <w:color w:val="auto"/>
                <w:highlight w:val="none"/>
              </w:rPr>
            </w:r>
            <w:r/>
          </w:p>
        </w:tc>
      </w:tr>
    </w:tbl>
    <w:p>
      <w:pPr>
        <w:pStyle w:val="873"/>
        <w:widowControl/>
        <w:rPr>
          <w:rFonts w:hint="eastAsia"/>
          <w:color w:val="auto"/>
          <w:highlight w:val="none"/>
        </w:rPr>
      </w:pPr>
      <w:r>
        <w:rPr>
          <w:rFonts w:hint="eastAsia"/>
          <w:color w:val="auto"/>
          <w:highlight w:val="none"/>
          <w:lang w:bidi="ar"/>
        </w:rPr>
        <w:br w:type="page" w:clear="all"/>
      </w:r>
      <w:r>
        <w:rPr>
          <w:color w:val="auto"/>
          <w:highlight w:val="none"/>
        </w:rPr>
      </w:r>
      <w:r/>
    </w:p>
    <w:tbl>
      <w:tblPr>
        <w:tblW w:w="9757"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34"/>
        <w:gridCol w:w="1134"/>
        <w:gridCol w:w="1134"/>
        <w:gridCol w:w="1134"/>
        <w:gridCol w:w="1134"/>
        <w:gridCol w:w="1134"/>
      </w:tblGrid>
      <w:tr>
        <w:trPr>
          <w:trHeight w:val="474"/>
        </w:trPr>
        <w:tc>
          <w:tcPr>
            <w:gridSpan w:val="2"/>
            <w:tcW w:w="519" w:type="dxa"/>
            <w:vAlign w:val="center"/>
            <w:textDirection w:val="lrTb"/>
            <w:noWrap w:val="false"/>
          </w:tcPr>
          <w:p>
            <w:pPr>
              <w:pStyle w:val="873"/>
              <w:widowControl/>
              <w:rPr>
                <w:color w:val="auto"/>
                <w:sz w:val="21"/>
                <w:szCs w:val="21"/>
                <w:highlight w:val="none"/>
              </w:rPr>
            </w:pPr>
            <w:r>
              <w:rPr>
                <w:rFonts w:hint="eastAsia"/>
                <w:color w:val="auto"/>
                <w:highlight w:val="none"/>
                <w:lang w:bidi="ar"/>
              </w:rPr>
              <w:t xml:space="preserve">4.2</w:t>
            </w:r>
            <w:r>
              <w:rPr>
                <w:color w:val="auto"/>
                <w:highlight w:val="none"/>
              </w:rPr>
            </w:r>
            <w:r/>
          </w:p>
        </w:tc>
        <w:tc>
          <w:tcPr>
            <w:tcW w:w="1180" w:type="dxa"/>
            <w:vAlign w:val="center"/>
            <w:textDirection w:val="lrTb"/>
            <w:noWrap w:val="false"/>
          </w:tcPr>
          <w:p>
            <w:pPr>
              <w:pStyle w:val="873"/>
              <w:jc w:val="center"/>
              <w:widowControl/>
              <w:rPr>
                <w:color w:val="auto"/>
                <w:sz w:val="21"/>
                <w:szCs w:val="21"/>
                <w:highlight w:val="none"/>
              </w:rPr>
            </w:pPr>
            <w:r>
              <w:rPr>
                <w:rFonts w:hint="eastAsia"/>
                <w:color w:val="auto"/>
                <w:highlight w:val="none"/>
                <w:lang w:bidi="ar"/>
              </w:rPr>
              <w:t xml:space="preserve">项目组其他成员</w:t>
            </w:r>
            <w:r>
              <w:rPr>
                <w:color w:val="auto"/>
                <w:highlight w:val="none"/>
              </w:rPr>
            </w:r>
            <w:r/>
          </w:p>
        </w:tc>
        <w:tc>
          <w:tcPr>
            <w:tcW w:w="6624" w:type="dxa"/>
            <w:vAlign w:val="center"/>
            <w:textDirection w:val="lrTb"/>
            <w:noWrap w:val="false"/>
          </w:tcPr>
          <w:p>
            <w:pPr>
              <w:pStyle w:val="873"/>
              <w:widowControl/>
              <w:rPr>
                <w:color w:val="auto"/>
                <w:highlight w:val="none"/>
              </w:rPr>
            </w:pPr>
            <w:r>
              <w:rPr>
                <w:rFonts w:hint="eastAsia"/>
                <w:color w:val="auto"/>
                <w:highlight w:val="none"/>
                <w:lang w:bidi="ar"/>
              </w:rPr>
              <w:t xml:space="preserve">1、项目技术负责人（与项目负责人不得兼任）1名：具有大专及以上学历并且</w:t>
            </w:r>
            <w:r>
              <w:rPr>
                <w:rFonts w:hint="eastAsia"/>
                <w:color w:val="auto"/>
                <w:highlight w:val="none"/>
              </w:rPr>
              <w:t xml:space="preserve">园林类专业高级职称的得</w:t>
            </w:r>
            <w:r>
              <w:rPr>
                <w:rFonts w:hint="eastAsia"/>
                <w:color w:val="auto"/>
                <w:highlight w:val="none"/>
                <w:lang w:val="en-US" w:eastAsia="zh-CN"/>
              </w:rPr>
              <w:t xml:space="preserve">3</w:t>
            </w:r>
            <w:r>
              <w:rPr>
                <w:rFonts w:hint="eastAsia"/>
                <w:color w:val="auto"/>
                <w:highlight w:val="none"/>
              </w:rPr>
              <w:t xml:space="preserve">分</w:t>
            </w:r>
            <w:r>
              <w:rPr>
                <w:rFonts w:hint="eastAsia"/>
                <w:color w:val="auto"/>
                <w:highlight w:val="none"/>
                <w:lang w:eastAsia="zh-CN"/>
              </w:rPr>
              <w:t xml:space="preserve">，</w:t>
            </w:r>
            <w:r>
              <w:rPr>
                <w:rFonts w:hint="eastAsia"/>
                <w:color w:val="auto"/>
                <w:highlight w:val="none"/>
                <w:lang w:bidi="ar"/>
              </w:rPr>
              <w:t xml:space="preserve">具有大专及以上学历并且具备</w:t>
            </w:r>
            <w:r>
              <w:rPr>
                <w:rFonts w:hint="eastAsia"/>
                <w:color w:val="auto"/>
                <w:highlight w:val="none"/>
              </w:rPr>
              <w:t xml:space="preserve">园林类专业中级职称的得</w:t>
            </w:r>
            <w:r>
              <w:rPr>
                <w:rFonts w:hint="eastAsia"/>
                <w:color w:val="auto"/>
                <w:highlight w:val="none"/>
                <w:lang w:val="en-US" w:eastAsia="zh-CN"/>
              </w:rPr>
              <w:t xml:space="preserve">1.5</w:t>
            </w:r>
            <w:r>
              <w:rPr>
                <w:rFonts w:hint="eastAsia"/>
                <w:color w:val="auto"/>
                <w:highlight w:val="none"/>
              </w:rPr>
              <w:t xml:space="preserve">分。（专业以职称证书为准，职称证书无法反映专业的，专业以毕业证书为准。）</w:t>
            </w:r>
            <w:r>
              <w:rPr>
                <w:color w:val="auto"/>
                <w:highlight w:val="none"/>
              </w:rPr>
            </w:r>
            <w:r/>
          </w:p>
          <w:p>
            <w:pPr>
              <w:pStyle w:val="873"/>
              <w:widowControl/>
              <w:rPr>
                <w:color w:val="auto"/>
                <w:highlight w:val="none"/>
              </w:rPr>
            </w:pPr>
            <w:r>
              <w:rPr>
                <w:rFonts w:hint="eastAsia"/>
                <w:color w:val="auto"/>
                <w:highlight w:val="none"/>
                <w:lang w:bidi="ar"/>
              </w:rPr>
              <w:t xml:space="preserve">2、专业技术人员</w:t>
            </w:r>
            <w:r>
              <w:rPr>
                <w:rFonts w:hint="eastAsia"/>
                <w:color w:val="auto"/>
                <w:highlight w:val="none"/>
                <w:lang w:eastAsia="zh-CN" w:bidi="ar"/>
              </w:rPr>
              <w:t xml:space="preserve">（除项目负责人、</w:t>
            </w:r>
            <w:r>
              <w:rPr>
                <w:rFonts w:hint="eastAsia"/>
                <w:color w:val="auto"/>
                <w:highlight w:val="none"/>
                <w:lang w:eastAsia="zh-CN" w:bidi="ar"/>
              </w:rPr>
              <w:t xml:space="preserve">项目技术负责人</w:t>
            </w:r>
            <w:r>
              <w:rPr>
                <w:rFonts w:hint="eastAsia"/>
                <w:color w:val="auto"/>
                <w:highlight w:val="none"/>
                <w:lang w:eastAsia="zh-CN" w:bidi="ar"/>
              </w:rPr>
              <w:t xml:space="preserve">外）</w:t>
            </w:r>
            <w:r>
              <w:rPr>
                <w:rFonts w:hint="eastAsia"/>
                <w:color w:val="auto"/>
                <w:highlight w:val="none"/>
                <w:lang w:bidi="ar"/>
              </w:rPr>
              <w:t xml:space="preserve">配置情况：                               </w:t>
            </w:r>
            <w:r>
              <w:rPr>
                <w:color w:val="auto"/>
                <w:highlight w:val="none"/>
              </w:rPr>
            </w:r>
            <w:r/>
          </w:p>
          <w:p>
            <w:pPr>
              <w:pStyle w:val="873"/>
              <w:widowControl/>
              <w:rPr>
                <w:color w:val="auto"/>
                <w:highlight w:val="none"/>
              </w:rPr>
            </w:pPr>
            <w:r>
              <w:rPr>
                <w:rFonts w:hint="eastAsia"/>
                <w:color w:val="auto"/>
                <w:highlight w:val="none"/>
                <w:lang w:bidi="ar"/>
              </w:rPr>
              <w:t xml:space="preserve">（1）专业技术人员具有园林类专业中级及以上职称的，每人得1分，最高得</w:t>
            </w:r>
            <w:r>
              <w:rPr>
                <w:rFonts w:hint="eastAsia"/>
                <w:color w:val="auto"/>
                <w:highlight w:val="none"/>
                <w:lang w:val="en-US" w:eastAsia="zh-CN" w:bidi="ar"/>
              </w:rPr>
              <w:t xml:space="preserve">2</w:t>
            </w:r>
            <w:r>
              <w:rPr>
                <w:rFonts w:hint="eastAsia"/>
                <w:color w:val="auto"/>
                <w:highlight w:val="none"/>
                <w:lang w:bidi="ar"/>
              </w:rPr>
              <w:t xml:space="preserve">分。</w:t>
            </w:r>
            <w:r>
              <w:rPr>
                <w:rFonts w:hint="eastAsia"/>
                <w:color w:val="auto"/>
                <w:highlight w:val="none"/>
              </w:rPr>
              <w:t xml:space="preserve">（专业以职称证书为准，职称证书无法反映专业的，专业以毕业证书为准</w:t>
            </w:r>
            <w:r>
              <w:rPr>
                <w:rFonts w:hint="eastAsia"/>
                <w:color w:val="auto"/>
                <w:highlight w:val="none"/>
                <w:lang w:eastAsia="zh-CN"/>
              </w:rPr>
              <w:t xml:space="preserve">）</w:t>
            </w:r>
            <w:r>
              <w:rPr>
                <w:rFonts w:hint="eastAsia"/>
                <w:color w:val="auto"/>
                <w:highlight w:val="none"/>
                <w:lang w:bidi="ar"/>
              </w:rPr>
              <w:t xml:space="preserve">                                       </w:t>
            </w:r>
            <w:r>
              <w:rPr>
                <w:color w:val="auto"/>
                <w:highlight w:val="none"/>
              </w:rPr>
            </w:r>
            <w:r/>
          </w:p>
          <w:p>
            <w:pPr>
              <w:pStyle w:val="873"/>
              <w:widowControl/>
              <w:rPr>
                <w:color w:val="auto"/>
                <w:highlight w:val="none"/>
              </w:rPr>
            </w:pPr>
            <w:r>
              <w:rPr>
                <w:rFonts w:hint="eastAsia"/>
                <w:color w:val="auto"/>
                <w:highlight w:val="none"/>
                <w:lang w:bidi="ar"/>
              </w:rPr>
              <w:t xml:space="preserve">（2）配备专职安全员（持c类证书）,每人得</w:t>
            </w:r>
            <w:r>
              <w:rPr>
                <w:rFonts w:hint="eastAsia"/>
                <w:color w:val="auto"/>
                <w:highlight w:val="none"/>
                <w:lang w:val="en-US" w:eastAsia="zh-CN" w:bidi="ar"/>
              </w:rPr>
              <w:t xml:space="preserve">1</w:t>
            </w:r>
            <w:r>
              <w:rPr>
                <w:rFonts w:hint="eastAsia"/>
                <w:color w:val="auto"/>
                <w:highlight w:val="none"/>
                <w:lang w:bidi="ar"/>
              </w:rPr>
              <w:t xml:space="preserve">分，最高得</w:t>
            </w:r>
            <w:r>
              <w:rPr>
                <w:rFonts w:hint="eastAsia"/>
                <w:color w:val="auto"/>
                <w:highlight w:val="none"/>
                <w:lang w:val="en-US" w:eastAsia="zh-CN" w:bidi="ar"/>
              </w:rPr>
              <w:t xml:space="preserve">3</w:t>
            </w:r>
            <w:r>
              <w:rPr>
                <w:rFonts w:hint="eastAsia"/>
                <w:color w:val="auto"/>
                <w:highlight w:val="none"/>
                <w:lang w:bidi="ar"/>
              </w:rPr>
              <w:t xml:space="preserve">分。专职安全员与专业技术员不得为同一人。                   </w:t>
            </w:r>
            <w:r>
              <w:rPr>
                <w:color w:val="auto"/>
                <w:highlight w:val="none"/>
              </w:rPr>
            </w:r>
            <w:r/>
          </w:p>
          <w:p>
            <w:pPr>
              <w:pStyle w:val="873"/>
              <w:jc w:val="left"/>
              <w:widowControl/>
              <w:rPr>
                <w:color w:val="auto"/>
                <w:highlight w:val="none"/>
              </w:rPr>
            </w:pPr>
            <w:r>
              <w:rPr>
                <w:rFonts w:hint="eastAsia"/>
                <w:color w:val="auto"/>
                <w:highlight w:val="none"/>
                <w:lang w:bidi="ar"/>
              </w:rPr>
              <w:t xml:space="preserve">3、其他养护人员</w:t>
            </w:r>
            <w:r>
              <w:rPr>
                <w:rFonts w:hint="eastAsia"/>
                <w:color w:val="auto"/>
                <w:highlight w:val="none"/>
                <w:lang w:eastAsia="zh-CN" w:bidi="ar"/>
              </w:rPr>
              <w:t xml:space="preserve">（除项目负责人、技术负责人、专业技术人员外）</w:t>
            </w:r>
            <w:r>
              <w:rPr>
                <w:rFonts w:hint="eastAsia"/>
                <w:color w:val="auto"/>
                <w:highlight w:val="none"/>
                <w:lang w:bidi="ar"/>
              </w:rPr>
              <w:t xml:space="preserve">配置情况：                                         </w:t>
            </w:r>
            <w:r>
              <w:rPr>
                <w:rFonts w:hint="eastAsia"/>
                <w:color w:val="auto"/>
                <w:highlight w:val="none"/>
                <w:lang w:val="en-US" w:eastAsia="zh-CN" w:bidi="ar"/>
              </w:rPr>
              <w:t xml:space="preserve">              </w:t>
            </w:r>
            <w:r>
              <w:rPr>
                <w:rFonts w:hint="eastAsia"/>
                <w:color w:val="auto"/>
                <w:highlight w:val="none"/>
                <w:lang w:bidi="ar"/>
              </w:rPr>
              <w:t xml:space="preserve">（1）技术工：高级绿化工或高级花卉工每人得</w:t>
            </w:r>
            <w:r>
              <w:rPr>
                <w:rFonts w:hint="eastAsia"/>
                <w:color w:val="auto"/>
                <w:highlight w:val="none"/>
                <w:lang w:val="en-US" w:eastAsia="zh-CN" w:bidi="ar"/>
              </w:rPr>
              <w:t xml:space="preserve">1</w:t>
            </w:r>
            <w:r>
              <w:rPr>
                <w:rFonts w:hint="eastAsia"/>
                <w:color w:val="auto"/>
                <w:highlight w:val="none"/>
                <w:lang w:bidi="ar"/>
              </w:rPr>
              <w:t xml:space="preserve">分,最高得</w:t>
            </w:r>
            <w:r>
              <w:rPr>
                <w:rFonts w:hint="eastAsia"/>
                <w:color w:val="auto"/>
                <w:highlight w:val="none"/>
                <w:lang w:val="en-US" w:eastAsia="zh-CN" w:bidi="ar"/>
              </w:rPr>
              <w:t xml:space="preserve">5</w:t>
            </w:r>
            <w:r>
              <w:rPr>
                <w:rFonts w:hint="eastAsia"/>
                <w:color w:val="auto"/>
                <w:highlight w:val="none"/>
                <w:lang w:bidi="ar"/>
              </w:rPr>
              <w:t xml:space="preserve">分；中级绿化工或花卉工每人得0.5分,最高得</w:t>
            </w:r>
            <w:r>
              <w:rPr>
                <w:rFonts w:hint="eastAsia"/>
                <w:color w:val="auto"/>
                <w:highlight w:val="none"/>
                <w:lang w:val="en-US" w:eastAsia="zh-CN" w:bidi="ar"/>
              </w:rPr>
              <w:t xml:space="preserve">5</w:t>
            </w:r>
            <w:r>
              <w:rPr>
                <w:rFonts w:hint="eastAsia"/>
                <w:color w:val="auto"/>
                <w:highlight w:val="none"/>
                <w:lang w:bidi="ar"/>
              </w:rPr>
              <w:t xml:space="preserve">分。</w:t>
            </w:r>
            <w:r>
              <w:rPr>
                <w:rFonts w:hint="eastAsia" w:ascii="Times New Roman" w:hAnsi="Times New Roman" w:eastAsia="宋体" w:cs="Times New Roman"/>
                <w:color w:val="auto"/>
                <w:highlight w:val="none"/>
                <w:lang w:bidi="ar"/>
              </w:rPr>
              <w:t xml:space="preserve">（</w:t>
            </w:r>
            <w:r>
              <w:rPr>
                <w:rFonts w:hint="eastAsia" w:ascii="Times New Roman" w:hAnsi="Times New Roman" w:eastAsia="宋体" w:cs="Times New Roman"/>
                <w:color w:val="auto"/>
                <w:sz w:val="21"/>
                <w:szCs w:val="21"/>
                <w:highlight w:val="none"/>
                <w:lang w:bidi="ar"/>
              </w:rPr>
              <w:t xml:space="preserve">同一人员同时具备中级、高级证书的，仅按高级证书计分，不重复计算中级分数。</w:t>
            </w:r>
            <w:r>
              <w:rPr>
                <w:rFonts w:hint="eastAsia" w:ascii="Times New Roman" w:hAnsi="Times New Roman" w:eastAsia="宋体" w:cs="Times New Roman"/>
                <w:color w:val="auto"/>
                <w:sz w:val="21"/>
                <w:szCs w:val="21"/>
                <w:highlight w:val="none"/>
                <w:lang w:eastAsia="zh-CN" w:bidi="ar"/>
              </w:rPr>
              <w:t xml:space="preserve">）（</w:t>
            </w:r>
            <w:r>
              <w:rPr>
                <w:rFonts w:hint="eastAsia"/>
                <w:color w:val="auto"/>
                <w:highlight w:val="none"/>
                <w:lang w:bidi="ar"/>
              </w:rPr>
              <w:t xml:space="preserve">绿化工</w:t>
            </w:r>
            <w:r>
              <w:rPr>
                <w:rFonts w:hint="eastAsia"/>
                <w:color w:val="auto"/>
                <w:highlight w:val="none"/>
                <w:lang w:eastAsia="zh-CN" w:bidi="ar"/>
              </w:rPr>
              <w:t xml:space="preserve">、</w:t>
            </w:r>
            <w:r>
              <w:rPr>
                <w:rFonts w:hint="eastAsia"/>
                <w:color w:val="auto"/>
                <w:highlight w:val="none"/>
                <w:lang w:val="en-US" w:eastAsia="zh-CN" w:bidi="ar"/>
              </w:rPr>
              <w:t xml:space="preserve">花卉工</w:t>
            </w:r>
            <w:r>
              <w:rPr>
                <w:rFonts w:hint="eastAsia"/>
                <w:color w:val="auto"/>
                <w:highlight w:val="none"/>
                <w:lang w:bidi="ar"/>
              </w:rPr>
              <w:t xml:space="preserve">证书须是政府部门颁发的技能鉴定、考核、培训合格的证书或者是行业机构出具的行业技能培训合格证书，行业机构出具的证书须提供全国联网查询结果截图。）</w:t>
            </w:r>
            <w:r>
              <w:rPr>
                <w:color w:val="auto"/>
                <w:highlight w:val="none"/>
              </w:rPr>
            </w:r>
            <w:r/>
          </w:p>
          <w:p>
            <w:pPr>
              <w:pStyle w:val="873"/>
              <w:widowControl/>
              <w:rPr>
                <w:color w:val="auto"/>
                <w:highlight w:val="none"/>
              </w:rPr>
            </w:pPr>
            <w:r>
              <w:rPr>
                <w:rFonts w:hint="eastAsia"/>
                <w:color w:val="auto"/>
                <w:highlight w:val="none"/>
                <w:lang w:bidi="ar"/>
              </w:rPr>
              <w:t xml:space="preserve">（2）</w:t>
            </w:r>
            <w:r>
              <w:rPr>
                <w:rFonts w:hint="eastAsia" w:ascii="宋体" w:hAnsi="宋体" w:cs="宋体"/>
                <w:color w:val="auto"/>
                <w:spacing w:val="1"/>
                <w:highlight w:val="none"/>
              </w:rPr>
              <w:t xml:space="preserve">高处作业人员1人</w:t>
            </w:r>
            <w:r>
              <w:rPr>
                <w:rFonts w:hint="eastAsia"/>
                <w:color w:val="auto"/>
                <w:highlight w:val="none"/>
                <w:lang w:bidi="ar"/>
              </w:rPr>
              <w:t xml:space="preserve">：每人得1分，最高得1分。（</w:t>
            </w:r>
            <w:r>
              <w:rPr>
                <w:rFonts w:hint="eastAsia" w:ascii="宋体" w:hAnsi="宋体" w:cs="宋体"/>
                <w:color w:val="auto"/>
                <w:spacing w:val="1"/>
                <w:highlight w:val="none"/>
              </w:rPr>
              <w:t xml:space="preserve">提供高处作业证</w:t>
            </w:r>
            <w:r>
              <w:rPr>
                <w:rFonts w:hint="eastAsia"/>
                <w:color w:val="auto"/>
                <w:highlight w:val="none"/>
                <w:lang w:bidi="ar"/>
              </w:rPr>
              <w:t xml:space="preserve">）</w:t>
            </w:r>
            <w:r>
              <w:rPr>
                <w:color w:val="auto"/>
                <w:highlight w:val="none"/>
              </w:rPr>
            </w:r>
            <w:r/>
          </w:p>
          <w:p>
            <w:pPr>
              <w:pStyle w:val="999"/>
              <w:ind w:left="126"/>
              <w:spacing w:before="68" w:line="220" w:lineRule="auto"/>
              <w:rPr>
                <w:rFonts w:ascii="Arial" w:hAnsi="Arial" w:eastAsia="Arial" w:cs="Arial"/>
                <w:color w:val="auto"/>
                <w:sz w:val="21"/>
                <w:szCs w:val="21"/>
                <w:highlight w:val="none"/>
              </w:rPr>
            </w:pPr>
            <w:r>
              <w:rPr>
                <w:rFonts w:hint="eastAsia"/>
                <w:color w:val="auto"/>
                <w:highlight w:val="none"/>
                <w:lang w:eastAsia="zh-CN"/>
              </w:rPr>
              <w:t xml:space="preserve">以上所有相关人员资料要求：</w:t>
            </w:r>
            <w:r>
              <w:rPr>
                <w:rFonts w:hint="eastAsia"/>
                <w:color w:val="auto"/>
                <w:highlight w:val="none"/>
                <w:lang w:eastAsia="zh-CN"/>
              </w:rPr>
              <w:t xml:space="preserve">相关证书原件扫描件或证书有效查询页面官网完整截图，</w:t>
            </w:r>
            <w:r>
              <w:rPr>
                <w:rFonts w:hint="eastAsia" w:ascii="宋体" w:hAnsi="宋体" w:eastAsia="宋体" w:cs="宋体"/>
                <w:color w:val="auto"/>
                <w:spacing w:val="1"/>
                <w:highlight w:val="none"/>
                <w:lang w:eastAsia="zh-CN"/>
              </w:rPr>
              <w:t xml:space="preserve">供应商为其缴纳的社保证明（202</w:t>
            </w:r>
            <w:r>
              <w:rPr>
                <w:rFonts w:hint="eastAsia" w:ascii="宋体" w:hAnsi="宋体" w:eastAsia="宋体" w:cs="宋体"/>
                <w:color w:val="auto"/>
                <w:spacing w:val="1"/>
                <w:highlight w:val="none"/>
                <w:lang w:val="en-US" w:eastAsia="zh-CN"/>
              </w:rPr>
              <w:t xml:space="preserve">5</w:t>
            </w:r>
            <w:r>
              <w:rPr>
                <w:rFonts w:hint="eastAsia" w:ascii="宋体" w:hAnsi="宋体" w:eastAsia="宋体" w:cs="宋体"/>
                <w:color w:val="auto"/>
                <w:spacing w:val="1"/>
                <w:highlight w:val="none"/>
                <w:lang w:eastAsia="zh-CN"/>
              </w:rPr>
              <w:t xml:space="preserve">年1</w:t>
            </w:r>
            <w:r>
              <w:rPr>
                <w:rFonts w:hint="eastAsia" w:ascii="宋体" w:hAnsi="宋体" w:eastAsia="宋体" w:cs="宋体"/>
                <w:color w:val="auto"/>
                <w:spacing w:val="1"/>
                <w:highlight w:val="none"/>
                <w:lang w:val="en-US" w:eastAsia="zh-CN"/>
              </w:rPr>
              <w:t xml:space="preserve">2</w:t>
            </w:r>
            <w:r>
              <w:rPr>
                <w:rFonts w:hint="eastAsia" w:ascii="宋体" w:hAnsi="宋体" w:eastAsia="宋体" w:cs="宋体"/>
                <w:color w:val="auto"/>
                <w:spacing w:val="1"/>
                <w:highlight w:val="none"/>
                <w:lang w:eastAsia="zh-CN"/>
              </w:rPr>
              <w:t xml:space="preserve">月以来任意一个月）。</w:t>
            </w:r>
            <w:r>
              <w:rPr>
                <w:color w:val="auto"/>
                <w:highlight w:val="none"/>
              </w:rPr>
            </w:r>
            <w:r/>
          </w:p>
        </w:tc>
        <w:tc>
          <w:tcPr>
            <w:tcW w:w="571" w:type="dxa"/>
            <w:vAlign w:val="center"/>
            <w:textDirection w:val="lrTb"/>
            <w:noWrap w:val="false"/>
          </w:tcPr>
          <w:p>
            <w:pPr>
              <w:pStyle w:val="873"/>
              <w:jc w:val="center"/>
              <w:widowControl/>
              <w:rPr>
                <w:color w:val="auto"/>
                <w:sz w:val="21"/>
                <w:szCs w:val="21"/>
                <w:highlight w:val="none"/>
              </w:rPr>
            </w:pPr>
            <w:r>
              <w:rPr>
                <w:rFonts w:hint="eastAsia"/>
                <w:color w:val="auto"/>
                <w:highlight w:val="none"/>
                <w:lang w:val="en-US" w:eastAsia="zh-CN" w:bidi="ar"/>
              </w:rPr>
              <w:t xml:space="preserve">19</w:t>
            </w:r>
            <w:r>
              <w:rPr>
                <w:color w:val="auto"/>
                <w:highlight w:val="none"/>
              </w:rPr>
            </w:r>
            <w:r/>
          </w:p>
        </w:tc>
        <w:tc>
          <w:tcPr>
            <w:tcW w:w="863" w:type="dxa"/>
            <w:vAlign w:val="center"/>
            <w:textDirection w:val="lrTb"/>
            <w:noWrap w:val="false"/>
          </w:tcPr>
          <w:p>
            <w:pPr>
              <w:pStyle w:val="873"/>
              <w:jc w:val="center"/>
              <w:widowControl/>
              <w:rPr>
                <w:color w:val="auto"/>
                <w:sz w:val="21"/>
                <w:szCs w:val="21"/>
                <w:highlight w:val="none"/>
              </w:rPr>
            </w:pPr>
            <w:r>
              <w:rPr>
                <w:rFonts w:hint="eastAsia"/>
                <w:color w:val="auto"/>
                <w:highlight w:val="none"/>
                <w:lang w:bidi="ar"/>
              </w:rPr>
              <w:t xml:space="preserve">客观分</w:t>
            </w:r>
            <w:r>
              <w:rPr>
                <w:color w:val="auto"/>
                <w:highlight w:val="none"/>
              </w:rPr>
            </w:r>
            <w:r/>
          </w:p>
        </w:tc>
      </w:tr>
      <w:tr>
        <w:trPr>
          <w:trHeight w:val="474"/>
        </w:trPr>
        <w:tc>
          <w:tcPr>
            <w:gridSpan w:val="2"/>
            <w:tcW w:w="519" w:type="dxa"/>
            <w:vAlign w:val="center"/>
            <w:textDirection w:val="lrTb"/>
            <w:noWrap w:val="false"/>
          </w:tcPr>
          <w:p>
            <w:pPr>
              <w:pStyle w:val="873"/>
              <w:widowControl/>
              <w:rPr>
                <w:color w:val="auto"/>
                <w:sz w:val="21"/>
                <w:szCs w:val="21"/>
                <w:highlight w:val="none"/>
              </w:rPr>
            </w:pPr>
            <w:r>
              <w:rPr>
                <w:rFonts w:hint="eastAsia"/>
                <w:color w:val="auto"/>
                <w:highlight w:val="none"/>
                <w:lang w:bidi="ar"/>
              </w:rPr>
              <w:t xml:space="preserve">4.3</w:t>
            </w:r>
            <w:r>
              <w:rPr>
                <w:color w:val="auto"/>
                <w:highlight w:val="none"/>
              </w:rPr>
            </w:r>
            <w:r/>
          </w:p>
        </w:tc>
        <w:tc>
          <w:tcPr>
            <w:tcW w:w="1180" w:type="dxa"/>
            <w:vAlign w:val="center"/>
            <w:textDirection w:val="lrTb"/>
            <w:noWrap w:val="false"/>
          </w:tcPr>
          <w:p>
            <w:pPr>
              <w:pStyle w:val="873"/>
              <w:jc w:val="center"/>
              <w:widowControl/>
              <w:rPr>
                <w:color w:val="auto"/>
                <w:sz w:val="21"/>
                <w:szCs w:val="21"/>
                <w:highlight w:val="none"/>
              </w:rPr>
            </w:pPr>
            <w:r>
              <w:rPr>
                <w:rFonts w:hint="eastAsia"/>
                <w:color w:val="auto"/>
                <w:highlight w:val="none"/>
                <w:lang w:bidi="ar"/>
              </w:rPr>
              <w:t xml:space="preserve">养护车辆及设备</w:t>
            </w:r>
            <w:r>
              <w:rPr>
                <w:color w:val="auto"/>
                <w:highlight w:val="none"/>
              </w:rPr>
            </w:r>
            <w:r/>
          </w:p>
        </w:tc>
        <w:tc>
          <w:tcPr>
            <w:tcW w:w="6624" w:type="dxa"/>
            <w:vAlign w:val="center"/>
            <w:textDirection w:val="lrTb"/>
            <w:noWrap w:val="false"/>
          </w:tcPr>
          <w:p>
            <w:pPr>
              <w:pStyle w:val="873"/>
              <w:widowControl/>
              <w:rPr>
                <w:rFonts w:hint="eastAsia"/>
                <w:color w:val="auto"/>
                <w:highlight w:val="none"/>
              </w:rPr>
            </w:pPr>
            <w:r>
              <w:rPr>
                <w:rFonts w:hint="eastAsia"/>
                <w:color w:val="auto"/>
                <w:highlight w:val="none"/>
                <w:lang w:bidi="ar"/>
              </w:rPr>
              <w:t xml:space="preserve">对投标人投入本项目的车辆及主要设备的数量、型号种类、车辆设备等方面进行评价，主要包括：  </w:t>
            </w:r>
            <w:r>
              <w:rPr>
                <w:color w:val="auto"/>
                <w:highlight w:val="none"/>
              </w:rPr>
            </w:r>
            <w:r/>
          </w:p>
          <w:p>
            <w:pPr>
              <w:pStyle w:val="873"/>
              <w:widowControl/>
              <w:rPr>
                <w:color w:val="auto"/>
                <w:highlight w:val="none"/>
              </w:rPr>
            </w:pPr>
            <w:r>
              <w:rPr>
                <w:rFonts w:hint="eastAsia"/>
                <w:color w:val="auto"/>
                <w:highlight w:val="none"/>
                <w:lang w:bidi="ar"/>
              </w:rPr>
              <w:t xml:space="preserve">A、自有或租赁洒水车，每提供1辆得</w:t>
            </w:r>
            <w:r>
              <w:rPr>
                <w:rFonts w:hint="eastAsia"/>
                <w:color w:val="auto"/>
                <w:highlight w:val="none"/>
                <w:lang w:val="en-US" w:eastAsia="zh-CN" w:bidi="ar"/>
              </w:rPr>
              <w:t xml:space="preserve">0.5</w:t>
            </w:r>
            <w:r>
              <w:rPr>
                <w:rFonts w:hint="eastAsia"/>
                <w:color w:val="auto"/>
                <w:highlight w:val="none"/>
                <w:lang w:bidi="ar"/>
              </w:rPr>
              <w:t xml:space="preserve">分，满分</w:t>
            </w:r>
            <w:r>
              <w:rPr>
                <w:rFonts w:hint="eastAsia"/>
                <w:color w:val="auto"/>
                <w:highlight w:val="none"/>
                <w:lang w:val="en-US" w:eastAsia="zh-CN" w:bidi="ar"/>
              </w:rPr>
              <w:t xml:space="preserve">2.5</w:t>
            </w:r>
            <w:r>
              <w:rPr>
                <w:rFonts w:hint="eastAsia"/>
                <w:color w:val="auto"/>
                <w:highlight w:val="none"/>
                <w:lang w:bidi="ar"/>
              </w:rPr>
              <w:t xml:space="preserve">分。</w:t>
            </w:r>
            <w:r>
              <w:rPr>
                <w:color w:val="auto"/>
                <w:highlight w:val="none"/>
              </w:rPr>
            </w:r>
            <w:r/>
          </w:p>
          <w:p>
            <w:pPr>
              <w:pStyle w:val="873"/>
              <w:widowControl/>
              <w:rPr>
                <w:color w:val="auto"/>
                <w:highlight w:val="none"/>
              </w:rPr>
            </w:pPr>
            <w:r>
              <w:rPr>
                <w:rFonts w:hint="eastAsia"/>
                <w:color w:val="auto"/>
                <w:highlight w:val="none"/>
                <w:lang w:bidi="ar"/>
              </w:rPr>
              <w:t xml:space="preserve">B、自有或租赁货车,每提供一辆得</w:t>
            </w:r>
            <w:r>
              <w:rPr>
                <w:rFonts w:hint="eastAsia"/>
                <w:color w:val="auto"/>
                <w:highlight w:val="none"/>
                <w:lang w:val="en-US" w:eastAsia="zh-CN" w:bidi="ar"/>
              </w:rPr>
              <w:t xml:space="preserve">0.5</w:t>
            </w:r>
            <w:r>
              <w:rPr>
                <w:rFonts w:hint="eastAsia"/>
                <w:color w:val="auto"/>
                <w:highlight w:val="none"/>
                <w:lang w:bidi="ar"/>
              </w:rPr>
              <w:t xml:space="preserve">分，满分</w:t>
            </w:r>
            <w:r>
              <w:rPr>
                <w:rFonts w:hint="eastAsia"/>
                <w:color w:val="auto"/>
                <w:highlight w:val="none"/>
                <w:lang w:val="en-US" w:eastAsia="zh-CN" w:bidi="ar"/>
              </w:rPr>
              <w:t xml:space="preserve">2</w:t>
            </w:r>
            <w:r>
              <w:rPr>
                <w:rFonts w:hint="eastAsia"/>
                <w:color w:val="auto"/>
                <w:highlight w:val="none"/>
                <w:lang w:bidi="ar"/>
              </w:rPr>
              <w:t xml:space="preserve">分。</w:t>
            </w:r>
            <w:r>
              <w:rPr>
                <w:color w:val="auto"/>
                <w:highlight w:val="none"/>
              </w:rPr>
            </w:r>
            <w:r/>
          </w:p>
          <w:p>
            <w:pPr>
              <w:pStyle w:val="873"/>
              <w:numPr>
                <w:ilvl w:val="0"/>
                <w:numId w:val="6"/>
              </w:numPr>
              <w:widowControl/>
              <w:rPr>
                <w:color w:val="auto"/>
                <w:highlight w:val="none"/>
              </w:rPr>
            </w:pPr>
            <w:r>
              <w:rPr>
                <w:rFonts w:hint="eastAsia"/>
                <w:color w:val="auto"/>
                <w:highlight w:val="none"/>
                <w:lang w:bidi="ar"/>
              </w:rPr>
              <w:t xml:space="preserve">自有或租赁登高车，提供一辆得</w:t>
            </w:r>
            <w:r>
              <w:rPr>
                <w:rFonts w:hint="eastAsia"/>
                <w:color w:val="auto"/>
                <w:highlight w:val="none"/>
                <w:lang w:val="en-US" w:eastAsia="zh-CN" w:bidi="ar"/>
              </w:rPr>
              <w:t xml:space="preserve">1</w:t>
            </w:r>
            <w:r>
              <w:rPr>
                <w:rFonts w:hint="eastAsia"/>
                <w:color w:val="auto"/>
                <w:highlight w:val="none"/>
                <w:lang w:bidi="ar"/>
              </w:rPr>
              <w:t xml:space="preserve">分，满分</w:t>
            </w:r>
            <w:r>
              <w:rPr>
                <w:rFonts w:hint="eastAsia"/>
                <w:color w:val="auto"/>
                <w:highlight w:val="none"/>
                <w:lang w:val="en-US" w:eastAsia="zh-CN" w:bidi="ar"/>
              </w:rPr>
              <w:t xml:space="preserve">1</w:t>
            </w:r>
            <w:r>
              <w:rPr>
                <w:rFonts w:hint="eastAsia"/>
                <w:color w:val="auto"/>
                <w:highlight w:val="none"/>
                <w:lang w:bidi="ar"/>
              </w:rPr>
              <w:t xml:space="preserve">分（登高车需提供高空作业车操作证，没有操作证不得分）。</w:t>
            </w:r>
            <w:r>
              <w:rPr>
                <w:color w:val="auto"/>
                <w:highlight w:val="none"/>
              </w:rPr>
            </w:r>
            <w:r/>
          </w:p>
          <w:p>
            <w:pPr>
              <w:pStyle w:val="873"/>
              <w:numPr>
                <w:ilvl w:val="0"/>
                <w:numId w:val="6"/>
              </w:numPr>
              <w:widowControl/>
              <w:rPr>
                <w:color w:val="auto"/>
                <w:highlight w:val="none"/>
              </w:rPr>
            </w:pPr>
            <w:r>
              <w:rPr>
                <w:rFonts w:hint="eastAsia"/>
                <w:color w:val="auto"/>
                <w:highlight w:val="none"/>
                <w:lang w:bidi="ar"/>
              </w:rPr>
              <w:t xml:space="preserve">自有或租赁养护巡查车（核载5人及以上），每提供一辆得</w:t>
            </w:r>
            <w:r>
              <w:rPr>
                <w:rFonts w:hint="eastAsia"/>
                <w:color w:val="auto"/>
                <w:highlight w:val="none"/>
                <w:lang w:val="en-US" w:eastAsia="zh-CN" w:bidi="ar"/>
              </w:rPr>
              <w:t xml:space="preserve">0.5</w:t>
            </w:r>
            <w:r>
              <w:rPr>
                <w:rFonts w:hint="eastAsia"/>
                <w:color w:val="auto"/>
                <w:highlight w:val="none"/>
                <w:lang w:bidi="ar"/>
              </w:rPr>
              <w:t xml:space="preserve">，满分</w:t>
            </w:r>
            <w:r>
              <w:rPr>
                <w:rFonts w:hint="eastAsia"/>
                <w:color w:val="auto"/>
                <w:highlight w:val="none"/>
                <w:lang w:val="en-US" w:eastAsia="zh-CN" w:bidi="ar"/>
              </w:rPr>
              <w:t xml:space="preserve">1</w:t>
            </w:r>
            <w:r>
              <w:rPr>
                <w:rFonts w:hint="eastAsia"/>
                <w:color w:val="auto"/>
                <w:highlight w:val="none"/>
                <w:lang w:bidi="ar"/>
              </w:rPr>
              <w:t xml:space="preserve">分。</w:t>
            </w:r>
            <w:r>
              <w:rPr>
                <w:color w:val="auto"/>
                <w:highlight w:val="none"/>
              </w:rPr>
            </w:r>
            <w:r/>
          </w:p>
          <w:p>
            <w:pPr>
              <w:pStyle w:val="873"/>
              <w:numPr>
                <w:ilvl w:val="0"/>
                <w:numId w:val="6"/>
              </w:numPr>
              <w:widowControl/>
              <w:rPr>
                <w:color w:val="auto"/>
                <w:highlight w:val="none"/>
              </w:rPr>
            </w:pPr>
            <w:r>
              <w:rPr>
                <w:rFonts w:hint="eastAsia"/>
                <w:color w:val="auto"/>
                <w:highlight w:val="none"/>
                <w:lang w:bidi="ar"/>
              </w:rPr>
              <w:t xml:space="preserve">自有或租赁树枝粉碎机，每提供一台得0.2分，满分1分。</w:t>
            </w:r>
            <w:r>
              <w:rPr>
                <w:color w:val="auto"/>
                <w:highlight w:val="none"/>
              </w:rPr>
            </w:r>
            <w:r/>
          </w:p>
          <w:p>
            <w:pPr>
              <w:pStyle w:val="873"/>
              <w:numPr>
                <w:ilvl w:val="0"/>
                <w:numId w:val="6"/>
              </w:numPr>
              <w:widowControl/>
              <w:rPr>
                <w:color w:val="auto"/>
                <w:highlight w:val="none"/>
              </w:rPr>
            </w:pPr>
            <w:r>
              <w:rPr>
                <w:rFonts w:hint="eastAsia"/>
                <w:color w:val="auto"/>
                <w:highlight w:val="none"/>
                <w:lang w:bidi="ar"/>
              </w:rPr>
              <w:t xml:space="preserve">自有或租赁高枝油锯，每提供一台得0.</w:t>
            </w:r>
            <w:r>
              <w:rPr>
                <w:rFonts w:hint="eastAsia"/>
                <w:color w:val="auto"/>
                <w:highlight w:val="none"/>
                <w:lang w:val="en-US" w:eastAsia="zh-CN" w:bidi="ar"/>
              </w:rPr>
              <w:t xml:space="preserve">1</w:t>
            </w:r>
            <w:r>
              <w:rPr>
                <w:rFonts w:hint="eastAsia"/>
                <w:color w:val="auto"/>
                <w:highlight w:val="none"/>
                <w:lang w:bidi="ar"/>
              </w:rPr>
              <w:t xml:space="preserve">分，满分</w:t>
            </w:r>
            <w:r>
              <w:rPr>
                <w:rFonts w:hint="eastAsia"/>
                <w:color w:val="auto"/>
                <w:highlight w:val="none"/>
                <w:lang w:val="en-US" w:eastAsia="zh-CN" w:bidi="ar"/>
              </w:rPr>
              <w:t xml:space="preserve">1</w:t>
            </w:r>
            <w:r>
              <w:rPr>
                <w:rFonts w:hint="eastAsia"/>
                <w:color w:val="auto"/>
                <w:highlight w:val="none"/>
                <w:lang w:bidi="ar"/>
              </w:rPr>
              <w:t xml:space="preserve">分。</w:t>
            </w:r>
            <w:r>
              <w:rPr>
                <w:color w:val="auto"/>
                <w:highlight w:val="none"/>
              </w:rPr>
            </w:r>
            <w:r/>
          </w:p>
          <w:p>
            <w:pPr>
              <w:pStyle w:val="873"/>
              <w:numPr>
                <w:ilvl w:val="0"/>
                <w:numId w:val="6"/>
              </w:numPr>
              <w:widowControl/>
              <w:rPr>
                <w:color w:val="auto"/>
                <w:highlight w:val="none"/>
              </w:rPr>
            </w:pPr>
            <w:r>
              <w:rPr>
                <w:rFonts w:hint="eastAsia"/>
                <w:color w:val="auto"/>
                <w:highlight w:val="none"/>
                <w:lang w:bidi="ar"/>
              </w:rPr>
              <w:t xml:space="preserve">自有或租赁背负式鼓风机。每提供一台得0.2分,满分1分。</w:t>
            </w:r>
            <w:r>
              <w:rPr>
                <w:color w:val="auto"/>
                <w:highlight w:val="none"/>
              </w:rPr>
            </w:r>
            <w:r/>
          </w:p>
          <w:p>
            <w:pPr>
              <w:pStyle w:val="873"/>
              <w:numPr>
                <w:ilvl w:val="0"/>
                <w:numId w:val="6"/>
              </w:numPr>
              <w:widowControl/>
              <w:rPr>
                <w:color w:val="auto"/>
                <w:highlight w:val="none"/>
              </w:rPr>
            </w:pPr>
            <w:r>
              <w:rPr>
                <w:rFonts w:hint="eastAsia"/>
                <w:color w:val="auto"/>
                <w:highlight w:val="none"/>
                <w:lang w:bidi="ar"/>
              </w:rPr>
              <w:t xml:space="preserve">自有或租赁草坪机，每提供一台得0.</w:t>
            </w:r>
            <w:r>
              <w:rPr>
                <w:rFonts w:hint="eastAsia"/>
                <w:color w:val="auto"/>
                <w:highlight w:val="none"/>
                <w:lang w:val="en-US" w:eastAsia="zh-CN" w:bidi="ar"/>
              </w:rPr>
              <w:t xml:space="preserve">1</w:t>
            </w:r>
            <w:r>
              <w:rPr>
                <w:rFonts w:hint="eastAsia"/>
                <w:color w:val="auto"/>
                <w:highlight w:val="none"/>
                <w:lang w:bidi="ar"/>
              </w:rPr>
              <w:t xml:space="preserve">分，满分</w:t>
            </w:r>
            <w:r>
              <w:rPr>
                <w:rFonts w:hint="eastAsia"/>
                <w:color w:val="auto"/>
                <w:highlight w:val="none"/>
                <w:lang w:val="en-US" w:eastAsia="zh-CN" w:bidi="ar"/>
              </w:rPr>
              <w:t xml:space="preserve">0.5</w:t>
            </w:r>
            <w:r>
              <w:rPr>
                <w:rFonts w:hint="eastAsia"/>
                <w:color w:val="auto"/>
                <w:highlight w:val="none"/>
                <w:lang w:bidi="ar"/>
              </w:rPr>
              <w:t xml:space="preserve">分。</w:t>
            </w:r>
            <w:r>
              <w:rPr>
                <w:color w:val="auto"/>
                <w:highlight w:val="none"/>
              </w:rPr>
            </w:r>
            <w:r/>
          </w:p>
          <w:p>
            <w:pPr>
              <w:pStyle w:val="873"/>
              <w:numPr>
                <w:ilvl w:val="0"/>
                <w:numId w:val="6"/>
              </w:numPr>
              <w:widowControl/>
              <w:rPr>
                <w:color w:val="auto"/>
                <w:highlight w:val="none"/>
              </w:rPr>
            </w:pPr>
            <w:r>
              <w:rPr>
                <w:rFonts w:hint="eastAsia"/>
                <w:color w:val="auto"/>
                <w:highlight w:val="none"/>
                <w:lang w:bidi="ar"/>
              </w:rPr>
              <w:t xml:space="preserve">自有或租赁打孔机（打孔深度不低于5</w:t>
            </w:r>
            <w:r>
              <w:rPr>
                <w:rFonts w:hint="eastAsia"/>
                <w:color w:val="auto"/>
                <w:highlight w:val="none"/>
                <w:lang w:eastAsia="zh-CN" w:bidi="ar"/>
              </w:rPr>
              <w:t xml:space="preserve">cm</w:t>
            </w:r>
            <w:r>
              <w:rPr>
                <w:rFonts w:hint="eastAsia"/>
                <w:color w:val="auto"/>
                <w:highlight w:val="none"/>
                <w:lang w:bidi="ar"/>
              </w:rPr>
              <w:t xml:space="preserve">,孔径不低于2</w:t>
            </w:r>
            <w:r>
              <w:rPr>
                <w:rFonts w:hint="eastAsia"/>
                <w:color w:val="auto"/>
                <w:highlight w:val="none"/>
                <w:lang w:eastAsia="zh-CN" w:bidi="ar"/>
              </w:rPr>
              <w:t xml:space="preserve">cm</w:t>
            </w:r>
            <w:r>
              <w:rPr>
                <w:rFonts w:hint="eastAsia"/>
                <w:color w:val="auto"/>
                <w:highlight w:val="none"/>
                <w:lang w:bidi="ar"/>
              </w:rPr>
              <w:t xml:space="preserve">），每提供一台得0.</w:t>
            </w:r>
            <w:r>
              <w:rPr>
                <w:rFonts w:hint="eastAsia"/>
                <w:color w:val="auto"/>
                <w:highlight w:val="none"/>
                <w:lang w:val="en-US" w:eastAsia="zh-CN" w:bidi="ar"/>
              </w:rPr>
              <w:t xml:space="preserve">1</w:t>
            </w:r>
            <w:r>
              <w:rPr>
                <w:rFonts w:hint="eastAsia"/>
                <w:color w:val="auto"/>
                <w:highlight w:val="none"/>
                <w:lang w:bidi="ar"/>
              </w:rPr>
              <w:t xml:space="preserve">分,满分</w:t>
            </w:r>
            <w:r>
              <w:rPr>
                <w:rFonts w:hint="eastAsia"/>
                <w:color w:val="auto"/>
                <w:highlight w:val="none"/>
                <w:lang w:val="en-US" w:eastAsia="zh-CN" w:bidi="ar"/>
              </w:rPr>
              <w:t xml:space="preserve">1</w:t>
            </w:r>
            <w:r>
              <w:rPr>
                <w:rFonts w:hint="eastAsia"/>
                <w:color w:val="auto"/>
                <w:highlight w:val="none"/>
                <w:lang w:bidi="ar"/>
              </w:rPr>
              <w:t xml:space="preserve">分。</w:t>
            </w:r>
            <w:r>
              <w:rPr>
                <w:color w:val="auto"/>
                <w:highlight w:val="none"/>
              </w:rPr>
            </w:r>
            <w:r/>
          </w:p>
          <w:p>
            <w:pPr>
              <w:pStyle w:val="873"/>
              <w:numPr>
                <w:ilvl w:val="0"/>
                <w:numId w:val="6"/>
              </w:numPr>
              <w:widowControl/>
              <w:rPr>
                <w:color w:val="auto"/>
                <w:highlight w:val="none"/>
              </w:rPr>
            </w:pPr>
            <w:r>
              <w:rPr>
                <w:rFonts w:hint="eastAsia"/>
                <w:color w:val="auto"/>
                <w:highlight w:val="none"/>
                <w:lang w:bidi="ar"/>
              </w:rPr>
              <w:t xml:space="preserve">自有或租赁背负式打药机，每提供一台得0.</w:t>
            </w:r>
            <w:r>
              <w:rPr>
                <w:rFonts w:hint="eastAsia"/>
                <w:color w:val="auto"/>
                <w:highlight w:val="none"/>
                <w:lang w:val="en-US" w:eastAsia="zh-CN" w:bidi="ar"/>
              </w:rPr>
              <w:t xml:space="preserve">1</w:t>
            </w:r>
            <w:r>
              <w:rPr>
                <w:rFonts w:hint="eastAsia"/>
                <w:color w:val="auto"/>
                <w:highlight w:val="none"/>
                <w:lang w:bidi="ar"/>
              </w:rPr>
              <w:t xml:space="preserve">分，满</w:t>
            </w:r>
            <w:r>
              <w:rPr>
                <w:rFonts w:hint="eastAsia"/>
                <w:color w:val="auto"/>
                <w:highlight w:val="none"/>
                <w:lang w:val="en-US" w:eastAsia="zh-CN" w:bidi="ar"/>
              </w:rPr>
              <w:t xml:space="preserve">1</w:t>
            </w:r>
            <w:r>
              <w:rPr>
                <w:rFonts w:hint="eastAsia"/>
                <w:color w:val="auto"/>
                <w:highlight w:val="none"/>
                <w:lang w:bidi="ar"/>
              </w:rPr>
              <w:t xml:space="preserve">分。</w:t>
            </w:r>
            <w:r>
              <w:rPr>
                <w:color w:val="auto"/>
                <w:highlight w:val="none"/>
              </w:rPr>
            </w:r>
            <w:r/>
          </w:p>
          <w:p>
            <w:pPr>
              <w:pStyle w:val="873"/>
              <w:numPr>
                <w:ilvl w:val="0"/>
                <w:numId w:val="6"/>
              </w:numPr>
              <w:widowControl/>
              <w:rPr>
                <w:color w:val="auto"/>
                <w:highlight w:val="none"/>
              </w:rPr>
            </w:pPr>
            <w:r>
              <w:rPr>
                <w:rFonts w:hint="eastAsia"/>
                <w:color w:val="auto"/>
                <w:highlight w:val="none"/>
                <w:lang w:bidi="ar"/>
              </w:rPr>
              <w:t xml:space="preserve">自有或租赁手推式吸叶机（尘箱容量不低于240L，配不小于20cm口径吸管)，每提供一台得0.2分,满分1分）。</w:t>
            </w:r>
            <w:r>
              <w:rPr>
                <w:color w:val="auto"/>
                <w:highlight w:val="none"/>
              </w:rPr>
            </w:r>
            <w:r/>
          </w:p>
          <w:p>
            <w:pPr>
              <w:pStyle w:val="873"/>
              <w:widowControl/>
              <w:rPr>
                <w:rFonts w:hint="eastAsia"/>
                <w:color w:val="auto"/>
                <w:spacing w:val="1"/>
                <w:highlight w:val="none"/>
              </w:rPr>
            </w:pPr>
            <w:r>
              <w:rPr>
                <w:rFonts w:hint="eastAsia"/>
                <w:color w:val="auto"/>
                <w:spacing w:val="1"/>
                <w:highlight w:val="none"/>
              </w:rPr>
              <w:t xml:space="preserve">以上车辆、设备为自有产权的，供应商需提供购买发票（发票抬头和行驶证单位名称须与供应商名称一致)，车辆另需提供行</w:t>
            </w:r>
            <w:r>
              <w:rPr>
                <w:rFonts w:hint="eastAsia" w:ascii="Times New Roman" w:hAnsi="Times New Roman" w:eastAsia="宋体" w:cs="Times New Roman"/>
                <w:color w:val="auto"/>
                <w:spacing w:val="1"/>
                <w:highlight w:val="none"/>
              </w:rPr>
              <w:t xml:space="preserve">驶证及有效期内保险合同；以上车辆、设备为租赁的,供应商需提供车辆、设备的租赁合同(租赁期限应覆盖本项目服务期)、购买发票（发票抬头和行驶证单位名称须与签订租赁合同的租赁供应商名称一致)，车辆另需提供</w:t>
            </w:r>
            <w:r>
              <w:rPr>
                <w:rFonts w:hint="eastAsia"/>
                <w:color w:val="auto"/>
                <w:spacing w:val="1"/>
                <w:highlight w:val="none"/>
              </w:rPr>
              <w:t xml:space="preserve">行驶证及有效期内保险合同。</w:t>
            </w:r>
            <w:r>
              <w:rPr>
                <w:color w:val="auto"/>
                <w:highlight w:val="none"/>
              </w:rPr>
            </w:r>
            <w:r/>
          </w:p>
          <w:p>
            <w:pPr>
              <w:pStyle w:val="873"/>
              <w:widowControl/>
              <w:rPr>
                <w:rFonts w:hint="eastAsia" w:eastAsia="宋体"/>
                <w:color w:val="auto"/>
                <w:sz w:val="21"/>
                <w:szCs w:val="21"/>
                <w:highlight w:val="none"/>
              </w:rPr>
            </w:pPr>
            <w:r>
              <w:rPr>
                <w:rFonts w:hint="eastAsia"/>
                <w:color w:val="auto"/>
                <w:spacing w:val="1"/>
                <w:highlight w:val="none"/>
                <w:lang w:eastAsia="zh-CN"/>
              </w:rPr>
              <w:t xml:space="preserve">资料要求：</w:t>
            </w:r>
            <w:r>
              <w:rPr>
                <w:rFonts w:hint="eastAsia"/>
                <w:color w:val="auto"/>
                <w:spacing w:val="1"/>
                <w:highlight w:val="none"/>
              </w:rPr>
              <w:t xml:space="preserve">纸质发票提供原件扫描件，电子发票须提供原版式文件或完整页面截图，保证票面全部信息可辨识</w:t>
            </w:r>
            <w:r>
              <w:rPr>
                <w:rFonts w:hint="eastAsia"/>
                <w:color w:val="auto"/>
                <w:spacing w:val="1"/>
                <w:highlight w:val="none"/>
                <w:lang w:eastAsia="zh-CN"/>
              </w:rPr>
              <w:t xml:space="preserve">；相关证书、合同等须提供</w:t>
            </w:r>
            <w:r>
              <w:rPr>
                <w:rFonts w:hint="eastAsia"/>
                <w:color w:val="auto"/>
                <w:highlight w:val="none"/>
                <w:lang w:eastAsia="zh-CN"/>
              </w:rPr>
              <w:t xml:space="preserve">原件扫描件或证书有效查询页面官网完整截图。</w:t>
            </w:r>
            <w:r>
              <w:rPr>
                <w:rFonts w:hint="eastAsia"/>
                <w:color w:val="auto"/>
                <w:spacing w:val="1"/>
                <w:highlight w:val="none"/>
                <w:lang w:eastAsia="zh-CN"/>
              </w:rPr>
              <w:t xml:space="preserve">）</w:t>
            </w:r>
            <w:r>
              <w:rPr>
                <w:color w:val="auto"/>
                <w:highlight w:val="none"/>
              </w:rPr>
            </w:r>
            <w:r/>
          </w:p>
        </w:tc>
        <w:tc>
          <w:tcPr>
            <w:tcW w:w="571" w:type="dxa"/>
            <w:vAlign w:val="center"/>
            <w:textDirection w:val="lrTb"/>
            <w:noWrap w:val="false"/>
          </w:tcPr>
          <w:p>
            <w:pPr>
              <w:pStyle w:val="873"/>
              <w:jc w:val="center"/>
              <w:widowControl/>
              <w:rPr>
                <w:rFonts w:eastAsia="宋体"/>
                <w:color w:val="auto"/>
                <w:sz w:val="21"/>
                <w:szCs w:val="21"/>
                <w:highlight w:val="none"/>
              </w:rPr>
            </w:pPr>
            <w:r>
              <w:rPr>
                <w:rFonts w:hint="eastAsia"/>
                <w:color w:val="auto"/>
                <w:highlight w:val="none"/>
                <w:lang w:val="en-US" w:eastAsia="zh-CN" w:bidi="ar"/>
              </w:rPr>
              <w:t xml:space="preserve">13</w:t>
            </w:r>
            <w:r>
              <w:rPr>
                <w:color w:val="auto"/>
                <w:highlight w:val="none"/>
              </w:rPr>
            </w:r>
            <w:r/>
          </w:p>
        </w:tc>
        <w:tc>
          <w:tcPr>
            <w:tcW w:w="863" w:type="dxa"/>
            <w:vAlign w:val="center"/>
            <w:textDirection w:val="lrTb"/>
            <w:noWrap w:val="false"/>
          </w:tcPr>
          <w:p>
            <w:pPr>
              <w:pStyle w:val="873"/>
              <w:jc w:val="center"/>
              <w:widowControl/>
              <w:rPr>
                <w:color w:val="auto"/>
                <w:sz w:val="21"/>
                <w:szCs w:val="21"/>
                <w:highlight w:val="none"/>
              </w:rPr>
            </w:pPr>
            <w:r>
              <w:rPr>
                <w:rFonts w:hint="eastAsia"/>
                <w:color w:val="auto"/>
                <w:highlight w:val="none"/>
                <w:lang w:bidi="ar"/>
              </w:rPr>
              <w:t xml:space="preserve">客观分</w:t>
            </w:r>
            <w:r>
              <w:rPr>
                <w:color w:val="auto"/>
                <w:highlight w:val="none"/>
              </w:rPr>
            </w:r>
            <w:r/>
          </w:p>
        </w:tc>
      </w:tr>
      <w:tr>
        <w:trPr>
          <w:trHeight w:val="474"/>
        </w:trPr>
        <w:tc>
          <w:tcPr>
            <w:gridSpan w:val="2"/>
            <w:tcW w:w="519" w:type="dxa"/>
            <w:vAlign w:val="center"/>
            <w:textDirection w:val="lrTb"/>
            <w:noWrap w:val="false"/>
          </w:tcPr>
          <w:p>
            <w:pPr>
              <w:pStyle w:val="873"/>
              <w:widowControl/>
              <w:rPr>
                <w:color w:val="auto"/>
                <w:sz w:val="21"/>
                <w:szCs w:val="21"/>
                <w:highlight w:val="none"/>
              </w:rPr>
            </w:pPr>
            <w:r>
              <w:rPr>
                <w:rFonts w:hint="eastAsia"/>
                <w:color w:val="auto"/>
                <w:highlight w:val="none"/>
                <w:lang w:bidi="ar"/>
              </w:rPr>
              <w:t xml:space="preserve">4.4</w:t>
            </w:r>
            <w:r>
              <w:rPr>
                <w:color w:val="auto"/>
                <w:highlight w:val="none"/>
              </w:rPr>
            </w:r>
            <w:r/>
          </w:p>
        </w:tc>
        <w:tc>
          <w:tcPr>
            <w:tcW w:w="1180" w:type="dxa"/>
            <w:vAlign w:val="center"/>
            <w:textDirection w:val="lrTb"/>
            <w:noWrap w:val="false"/>
          </w:tcPr>
          <w:p>
            <w:pPr>
              <w:pStyle w:val="873"/>
              <w:jc w:val="center"/>
              <w:widowControl/>
              <w:rPr>
                <w:color w:val="auto"/>
                <w:sz w:val="21"/>
                <w:szCs w:val="21"/>
                <w:highlight w:val="none"/>
              </w:rPr>
            </w:pPr>
            <w:r>
              <w:rPr>
                <w:rFonts w:hint="eastAsia"/>
                <w:color w:val="auto"/>
                <w:highlight w:val="none"/>
                <w:lang w:bidi="ar"/>
              </w:rPr>
              <w:t xml:space="preserve">办公场所或车辆停放场地</w:t>
            </w:r>
            <w:r>
              <w:rPr>
                <w:color w:val="auto"/>
                <w:highlight w:val="none"/>
              </w:rPr>
            </w:r>
            <w:r/>
          </w:p>
        </w:tc>
        <w:tc>
          <w:tcPr>
            <w:tcW w:w="6624" w:type="dxa"/>
            <w:vAlign w:val="center"/>
            <w:textDirection w:val="lrTb"/>
            <w:noWrap w:val="false"/>
          </w:tcPr>
          <w:p>
            <w:pPr>
              <w:pStyle w:val="873"/>
              <w:widowControl/>
              <w:rPr>
                <w:color w:val="auto"/>
                <w:sz w:val="21"/>
                <w:szCs w:val="21"/>
                <w:highlight w:val="none"/>
              </w:rPr>
            </w:pPr>
            <w:r>
              <w:rPr>
                <w:rFonts w:hint="eastAsia"/>
                <w:color w:val="auto"/>
                <w:highlight w:val="none"/>
                <w:lang w:bidi="ar"/>
              </w:rPr>
              <w:t xml:space="preserve">投标人在项目所在地具有办公或车辆停放场地面积达500平方及以上的或承诺中标后在项目所在地设立办公或车辆停放场地面积达500平方及以上的，得</w:t>
            </w:r>
            <w:r>
              <w:rPr>
                <w:rFonts w:hint="eastAsia"/>
                <w:color w:val="auto"/>
                <w:highlight w:val="none"/>
                <w:lang w:val="en-US" w:eastAsia="zh-CN" w:bidi="ar"/>
              </w:rPr>
              <w:t xml:space="preserve">1</w:t>
            </w:r>
            <w:r>
              <w:rPr>
                <w:rFonts w:hint="eastAsia"/>
                <w:color w:val="auto"/>
                <w:highlight w:val="none"/>
                <w:lang w:bidi="ar"/>
              </w:rPr>
              <w:t xml:space="preserve">分,没有不得分。（提供上述场所场地租赁合同</w:t>
            </w:r>
            <w:r>
              <w:rPr>
                <w:rFonts w:hint="eastAsia"/>
                <w:color w:val="auto"/>
                <w:highlight w:val="none"/>
                <w:lang w:eastAsia="zh-CN" w:bidi="ar"/>
              </w:rPr>
              <w:t xml:space="preserve">（原件扫描件）</w:t>
            </w:r>
            <w:r>
              <w:rPr>
                <w:rFonts w:hint="eastAsia"/>
                <w:color w:val="auto"/>
                <w:highlight w:val="none"/>
                <w:lang w:bidi="ar"/>
              </w:rPr>
              <w:t xml:space="preserve">、现场照片相关证明材料并加盖公章或承诺书</w:t>
            </w:r>
            <w:r>
              <w:rPr>
                <w:rFonts w:hint="eastAsia"/>
                <w:color w:val="auto"/>
                <w:highlight w:val="none"/>
                <w:lang w:bidi="ar"/>
              </w:rPr>
              <w:t xml:space="preserve">原件</w:t>
            </w:r>
            <w:r>
              <w:rPr>
                <w:rFonts w:hint="eastAsia"/>
                <w:color w:val="auto"/>
                <w:highlight w:val="none"/>
                <w:lang w:eastAsia="zh-CN" w:bidi="ar"/>
              </w:rPr>
              <w:t xml:space="preserve">扫描件</w:t>
            </w:r>
            <w:r>
              <w:rPr>
                <w:rFonts w:hint="eastAsia"/>
                <w:color w:val="auto"/>
                <w:highlight w:val="none"/>
                <w:lang w:bidi="ar"/>
              </w:rPr>
              <w:t xml:space="preserve">，格式自拟。）</w:t>
            </w:r>
            <w:r>
              <w:rPr>
                <w:color w:val="auto"/>
                <w:highlight w:val="none"/>
              </w:rPr>
            </w:r>
            <w:r/>
          </w:p>
        </w:tc>
        <w:tc>
          <w:tcPr>
            <w:tcW w:w="571" w:type="dxa"/>
            <w:vAlign w:val="center"/>
            <w:textDirection w:val="lrTb"/>
            <w:noWrap w:val="false"/>
          </w:tcPr>
          <w:p>
            <w:pPr>
              <w:pStyle w:val="873"/>
              <w:jc w:val="center"/>
              <w:widowControl/>
              <w:rPr>
                <w:rFonts w:hint="eastAsia" w:eastAsia="宋体"/>
                <w:color w:val="auto"/>
                <w:sz w:val="21"/>
                <w:szCs w:val="21"/>
                <w:highlight w:val="none"/>
              </w:rPr>
            </w:pPr>
            <w:r>
              <w:rPr>
                <w:rFonts w:hint="eastAsia"/>
                <w:color w:val="auto"/>
                <w:highlight w:val="none"/>
                <w:lang w:val="en-US" w:eastAsia="zh-CN" w:bidi="ar"/>
              </w:rPr>
              <w:t xml:space="preserve">1</w:t>
            </w:r>
            <w:r>
              <w:rPr>
                <w:color w:val="auto"/>
                <w:highlight w:val="none"/>
              </w:rPr>
            </w:r>
            <w:r/>
          </w:p>
        </w:tc>
        <w:tc>
          <w:tcPr>
            <w:tcW w:w="863" w:type="dxa"/>
            <w:vAlign w:val="center"/>
            <w:textDirection w:val="lrTb"/>
            <w:noWrap w:val="false"/>
          </w:tcPr>
          <w:p>
            <w:pPr>
              <w:pStyle w:val="873"/>
              <w:jc w:val="center"/>
              <w:widowControl/>
              <w:rPr>
                <w:color w:val="auto"/>
                <w:sz w:val="21"/>
                <w:szCs w:val="21"/>
                <w:highlight w:val="none"/>
              </w:rPr>
            </w:pPr>
            <w:r>
              <w:rPr>
                <w:rFonts w:hint="eastAsia"/>
                <w:color w:val="auto"/>
                <w:highlight w:val="none"/>
                <w:lang w:bidi="ar"/>
              </w:rPr>
              <w:t xml:space="preserve">客观分</w:t>
            </w:r>
            <w:r>
              <w:rPr>
                <w:color w:val="auto"/>
                <w:highlight w:val="none"/>
              </w:rPr>
            </w:r>
            <w:r/>
          </w:p>
        </w:tc>
      </w:tr>
      <w:tr>
        <w:trPr>
          <w:trHeight w:val="474"/>
        </w:trPr>
        <w:tc>
          <w:tcPr>
            <w:gridSpan w:val="2"/>
            <w:tcW w:w="519" w:type="dxa"/>
            <w:vAlign w:val="center"/>
            <w:textDirection w:val="lrTb"/>
            <w:noWrap w:val="false"/>
          </w:tcPr>
          <w:p>
            <w:pPr>
              <w:pStyle w:val="873"/>
              <w:widowControl/>
              <w:rPr>
                <w:color w:val="auto"/>
                <w:sz w:val="21"/>
                <w:szCs w:val="21"/>
                <w:highlight w:val="none"/>
              </w:rPr>
            </w:pPr>
            <w:r>
              <w:rPr>
                <w:rFonts w:hint="eastAsia"/>
                <w:color w:val="auto"/>
                <w:highlight w:val="none"/>
                <w:lang w:bidi="ar"/>
              </w:rPr>
              <w:t xml:space="preserve">4.5</w:t>
            </w:r>
            <w:r>
              <w:rPr>
                <w:color w:val="auto"/>
                <w:highlight w:val="none"/>
              </w:rPr>
            </w:r>
            <w:r/>
          </w:p>
        </w:tc>
        <w:tc>
          <w:tcPr>
            <w:tcW w:w="1180" w:type="dxa"/>
            <w:vAlign w:val="center"/>
            <w:textDirection w:val="lrTb"/>
            <w:noWrap w:val="false"/>
          </w:tcPr>
          <w:p>
            <w:pPr>
              <w:pStyle w:val="873"/>
              <w:jc w:val="center"/>
              <w:widowControl/>
              <w:rPr>
                <w:color w:val="auto"/>
                <w:sz w:val="21"/>
                <w:szCs w:val="21"/>
                <w:highlight w:val="none"/>
              </w:rPr>
            </w:pPr>
            <w:r>
              <w:rPr>
                <w:rFonts w:hint="eastAsia"/>
                <w:color w:val="auto"/>
                <w:highlight w:val="none"/>
              </w:rPr>
              <w:t xml:space="preserve">园林绿化垃圾专业处理</w:t>
            </w:r>
            <w:r>
              <w:rPr>
                <w:color w:val="auto"/>
                <w:highlight w:val="none"/>
              </w:rPr>
            </w:r>
            <w:r/>
          </w:p>
        </w:tc>
        <w:tc>
          <w:tcPr>
            <w:tcW w:w="6624" w:type="dxa"/>
            <w:vAlign w:val="center"/>
            <w:textDirection w:val="lrTb"/>
            <w:noWrap w:val="false"/>
          </w:tcPr>
          <w:p>
            <w:pPr>
              <w:pStyle w:val="873"/>
              <w:widowControl/>
              <w:rPr>
                <w:color w:val="auto"/>
                <w:sz w:val="21"/>
                <w:szCs w:val="21"/>
                <w:highlight w:val="none"/>
              </w:rPr>
            </w:pPr>
            <w:r>
              <w:rPr>
                <w:rFonts w:hint="eastAsia"/>
                <w:color w:val="auto"/>
                <w:highlight w:val="none"/>
              </w:rPr>
              <w:t xml:space="preserve">园林绿化垃圾处理站(厂)：在南京市范围内，</w:t>
            </w:r>
            <w:r>
              <w:rPr>
                <w:rFonts w:hint="eastAsia"/>
                <w:color w:val="auto"/>
                <w:highlight w:val="none"/>
                <w:lang w:bidi="ar"/>
              </w:rPr>
              <w:t xml:space="preserve">自有或签约或承诺规模化园林绿化垃圾专业处理站（厂）,得</w:t>
            </w:r>
            <w:r>
              <w:rPr>
                <w:rFonts w:hint="eastAsia"/>
                <w:color w:val="auto"/>
                <w:highlight w:val="none"/>
                <w:lang w:val="en-US" w:eastAsia="zh-CN" w:bidi="ar"/>
              </w:rPr>
              <w:t xml:space="preserve">1</w:t>
            </w:r>
            <w:r>
              <w:rPr>
                <w:rFonts w:hint="eastAsia"/>
                <w:color w:val="auto"/>
                <w:highlight w:val="none"/>
                <w:lang w:bidi="ar"/>
              </w:rPr>
              <w:t xml:space="preserve">分，没有不得分。（提供产权证明或租赁合同或承诺书</w:t>
            </w:r>
            <w:r>
              <w:rPr>
                <w:rFonts w:hint="eastAsia"/>
                <w:color w:val="auto"/>
                <w:highlight w:val="none"/>
                <w:lang w:eastAsia="zh-CN" w:bidi="ar"/>
              </w:rPr>
              <w:t xml:space="preserve">，</w:t>
            </w:r>
            <w:r>
              <w:rPr>
                <w:rFonts w:hint="eastAsia"/>
                <w:color w:val="auto"/>
                <w:highlight w:val="none"/>
                <w:lang w:eastAsia="zh-CN" w:bidi="ar"/>
              </w:rPr>
              <w:t xml:space="preserve">均须提供原件扫描件</w:t>
            </w:r>
            <w:r>
              <w:rPr>
                <w:rFonts w:hint="eastAsia"/>
                <w:color w:val="auto"/>
                <w:highlight w:val="none"/>
                <w:lang w:bidi="ar"/>
              </w:rPr>
              <w:t xml:space="preserve">）</w:t>
            </w:r>
            <w:r>
              <w:rPr>
                <w:color w:val="auto"/>
                <w:highlight w:val="none"/>
              </w:rPr>
            </w:r>
            <w:r/>
          </w:p>
        </w:tc>
        <w:tc>
          <w:tcPr>
            <w:tcW w:w="571" w:type="dxa"/>
            <w:vAlign w:val="center"/>
            <w:textDirection w:val="lrTb"/>
            <w:noWrap w:val="false"/>
          </w:tcPr>
          <w:p>
            <w:pPr>
              <w:pStyle w:val="873"/>
              <w:jc w:val="center"/>
              <w:widowControl/>
              <w:rPr>
                <w:rFonts w:hint="eastAsia" w:eastAsia="宋体"/>
                <w:color w:val="auto"/>
                <w:sz w:val="21"/>
                <w:szCs w:val="21"/>
                <w:highlight w:val="none"/>
              </w:rPr>
            </w:pPr>
            <w:r>
              <w:rPr>
                <w:rFonts w:hint="eastAsia"/>
                <w:color w:val="auto"/>
                <w:highlight w:val="none"/>
                <w:lang w:val="en-US" w:eastAsia="zh-CN" w:bidi="ar"/>
              </w:rPr>
              <w:t xml:space="preserve">1</w:t>
            </w:r>
            <w:r>
              <w:rPr>
                <w:color w:val="auto"/>
                <w:highlight w:val="none"/>
              </w:rPr>
            </w:r>
            <w:r/>
          </w:p>
        </w:tc>
        <w:tc>
          <w:tcPr>
            <w:tcW w:w="863" w:type="dxa"/>
            <w:vAlign w:val="center"/>
            <w:textDirection w:val="lrTb"/>
            <w:noWrap w:val="false"/>
          </w:tcPr>
          <w:p>
            <w:pPr>
              <w:pStyle w:val="873"/>
              <w:jc w:val="center"/>
              <w:widowControl/>
              <w:rPr>
                <w:color w:val="auto"/>
                <w:sz w:val="21"/>
                <w:szCs w:val="21"/>
                <w:highlight w:val="none"/>
              </w:rPr>
            </w:pPr>
            <w:r>
              <w:rPr>
                <w:rFonts w:hint="eastAsia"/>
                <w:color w:val="auto"/>
                <w:highlight w:val="none"/>
                <w:lang w:bidi="ar"/>
              </w:rPr>
              <w:t xml:space="preserve">客观分</w:t>
            </w:r>
            <w:r>
              <w:rPr>
                <w:color w:val="auto"/>
                <w:highlight w:val="none"/>
              </w:rPr>
            </w:r>
            <w:r/>
          </w:p>
        </w:tc>
      </w:tr>
      <w:tr>
        <w:trPr>
          <w:trHeight w:val="512"/>
        </w:trPr>
        <w:tc>
          <w:tcPr>
            <w:gridSpan w:val="2"/>
            <w:tcW w:w="519" w:type="dxa"/>
            <w:vAlign w:val="center"/>
            <w:textDirection w:val="lrTb"/>
            <w:noWrap/>
          </w:tcPr>
          <w:p>
            <w:pPr>
              <w:pStyle w:val="873"/>
              <w:widowControl/>
              <w:rPr>
                <w:color w:val="auto"/>
                <w:highlight w:val="none"/>
              </w:rPr>
            </w:pPr>
            <w:r>
              <w:rPr>
                <w:color w:val="auto"/>
                <w:highlight w:val="none"/>
              </w:rPr>
            </w:r>
            <w:r>
              <w:rPr>
                <w:color w:val="auto"/>
                <w:highlight w:val="none"/>
              </w:rPr>
            </w:r>
            <w:r/>
          </w:p>
        </w:tc>
        <w:tc>
          <w:tcPr>
            <w:tcW w:w="1178" w:type="dxa"/>
            <w:vAlign w:val="center"/>
            <w:textDirection w:val="lrTb"/>
            <w:noWrap/>
          </w:tcPr>
          <w:p>
            <w:pPr>
              <w:pStyle w:val="873"/>
              <w:rPr>
                <w:color w:val="auto"/>
                <w:highlight w:val="none"/>
              </w:rPr>
            </w:pPr>
            <w:r>
              <w:rPr>
                <w:color w:val="auto"/>
                <w:highlight w:val="none"/>
              </w:rPr>
            </w:r>
            <w:r>
              <w:rPr>
                <w:color w:val="auto"/>
                <w:highlight w:val="none"/>
              </w:rPr>
            </w:r>
            <w:r/>
          </w:p>
        </w:tc>
        <w:tc>
          <w:tcPr>
            <w:tcW w:w="6626" w:type="dxa"/>
            <w:vAlign w:val="center"/>
            <w:textDirection w:val="lrTb"/>
            <w:noWrap/>
          </w:tcPr>
          <w:p>
            <w:pPr>
              <w:pStyle w:val="873"/>
              <w:jc w:val="center"/>
              <w:rPr>
                <w:color w:val="auto"/>
                <w:highlight w:val="none"/>
              </w:rPr>
            </w:pPr>
            <w:r>
              <w:rPr>
                <w:rFonts w:hint="eastAsia"/>
                <w:b/>
                <w:bCs/>
                <w:color w:val="auto"/>
                <w:highlight w:val="none"/>
                <w:lang w:bidi="ar"/>
              </w:rPr>
              <w:t xml:space="preserve">合计：</w:t>
            </w:r>
            <w:r>
              <w:rPr>
                <w:color w:val="auto"/>
                <w:highlight w:val="none"/>
              </w:rPr>
            </w:r>
            <w:r/>
          </w:p>
        </w:tc>
        <w:tc>
          <w:tcPr>
            <w:tcW w:w="569" w:type="dxa"/>
            <w:vAlign w:val="center"/>
            <w:textDirection w:val="lrTb"/>
            <w:noWrap/>
          </w:tcPr>
          <w:p>
            <w:pPr>
              <w:pStyle w:val="873"/>
              <w:jc w:val="center"/>
              <w:widowControl/>
              <w:rPr>
                <w:color w:val="auto"/>
                <w:highlight w:val="none"/>
              </w:rPr>
            </w:pPr>
            <w:r>
              <w:rPr>
                <w:rFonts w:hint="eastAsia"/>
                <w:color w:val="auto"/>
                <w:highlight w:val="none"/>
                <w:lang w:bidi="ar"/>
              </w:rPr>
              <w:t xml:space="preserve">100</w:t>
            </w:r>
            <w:r>
              <w:rPr>
                <w:color w:val="auto"/>
                <w:highlight w:val="none"/>
              </w:rPr>
            </w:r>
            <w:r/>
          </w:p>
        </w:tc>
        <w:tc>
          <w:tcPr>
            <w:tcW w:w="863" w:type="dxa"/>
            <w:vAlign w:val="center"/>
            <w:textDirection w:val="lrTb"/>
            <w:noWrap/>
          </w:tcPr>
          <w:p>
            <w:pPr>
              <w:pStyle w:val="873"/>
              <w:jc w:val="center"/>
              <w:widowControl/>
              <w:rPr>
                <w:color w:val="auto"/>
                <w:highlight w:val="none"/>
              </w:rPr>
            </w:pPr>
            <w:r>
              <w:rPr>
                <w:color w:val="auto"/>
                <w:highlight w:val="none"/>
                <w:lang w:bidi="ar"/>
              </w:rPr>
            </w:r>
            <w:r>
              <w:rPr>
                <w:color w:val="auto"/>
                <w:highlight w:val="none"/>
              </w:rPr>
            </w:r>
            <w:r/>
          </w:p>
        </w:tc>
      </w:tr>
    </w:tbl>
    <w:p>
      <w:pPr>
        <w:pStyle w:val="873"/>
        <w:jc w:val="center"/>
        <w:spacing w:line="264" w:lineRule="auto"/>
        <w:rPr>
          <w:rFonts w:hint="eastAsia" w:ascii="方正小标宋简体" w:hAnsi="方正小标宋简体" w:eastAsia="方正小标宋简体" w:cs="方正小标宋简体"/>
          <w:color w:val="auto"/>
          <w:sz w:val="36"/>
          <w:szCs w:val="36"/>
          <w:highlight w:val="none"/>
        </w:rPr>
      </w:pPr>
      <w:r>
        <w:rPr>
          <w:rFonts w:hint="eastAsia" w:ascii="宋体" w:hAnsi="宋体" w:cs="宋体"/>
          <w:b/>
          <w:bCs/>
          <w:color w:val="auto"/>
          <w:sz w:val="24"/>
          <w:szCs w:val="24"/>
          <w:highlight w:val="none"/>
        </w:rPr>
        <w:br w:type="page" w:clear="all"/>
      </w:r>
      <w:r>
        <w:rPr>
          <w:rFonts w:hint="eastAsia" w:ascii="方正小标宋简体" w:hAnsi="方正小标宋简体" w:eastAsia="方正小标宋简体" w:cs="方正小标宋简体"/>
          <w:color w:val="auto"/>
          <w:sz w:val="36"/>
          <w:szCs w:val="36"/>
          <w:highlight w:val="none"/>
        </w:rPr>
        <w:t xml:space="preserve">第六章  投标</w:t>
      </w:r>
      <w:bookmarkEnd w:id="192"/>
      <w:r>
        <w:rPr>
          <w:color w:val="auto"/>
          <w:highlight w:val="none"/>
        </w:rPr>
      </w:r>
      <w:bookmarkEnd w:id="193"/>
      <w:r>
        <w:rPr>
          <w:color w:val="auto"/>
          <w:highlight w:val="none"/>
        </w:rPr>
      </w:r>
      <w:bookmarkEnd w:id="196"/>
      <w:r>
        <w:rPr>
          <w:rFonts w:hint="eastAsia" w:ascii="方正小标宋简体" w:hAnsi="方正小标宋简体" w:eastAsia="方正小标宋简体" w:cs="方正小标宋简体"/>
          <w:color w:val="auto"/>
          <w:sz w:val="36"/>
          <w:szCs w:val="36"/>
          <w:highlight w:val="none"/>
        </w:rPr>
        <w:t xml:space="preserve">文件格式</w:t>
      </w:r>
      <w:r>
        <w:rPr>
          <w:color w:val="auto"/>
          <w:highlight w:val="none"/>
        </w:rPr>
      </w:r>
      <w:r/>
    </w:p>
    <w:p>
      <w:pPr>
        <w:pStyle w:val="873"/>
        <w:jc w:val="center"/>
        <w:rPr>
          <w:rFonts w:hint="eastAsia" w:ascii="宋体" w:hAnsi="宋体"/>
          <w:b/>
          <w:color w:val="auto"/>
          <w:sz w:val="72"/>
          <w:highlight w:val="none"/>
        </w:rPr>
      </w:pPr>
      <w:r>
        <w:rPr>
          <w:color w:val="auto"/>
          <w:highlight w:val="none"/>
        </w:rPr>
      </w:r>
      <w:bookmarkStart w:id="197" w:name="_Toc120614282"/>
      <w:r>
        <w:rPr>
          <w:color w:val="auto"/>
          <w:highlight w:val="none"/>
        </w:rPr>
      </w:r>
      <w:bookmarkStart w:id="198" w:name="_Toc26554094"/>
      <w:r>
        <w:rPr>
          <w:color w:val="auto"/>
          <w:highlight w:val="none"/>
        </w:rPr>
      </w:r>
      <w:bookmarkStart w:id="199" w:name="_Toc49090576"/>
      <w:r>
        <w:rPr>
          <w:color w:val="auto"/>
          <w:highlight w:val="none"/>
        </w:rPr>
      </w:r>
      <w:bookmarkStart w:id="200" w:name="_Hlt26955039"/>
      <w:r>
        <w:rPr>
          <w:color w:val="auto"/>
          <w:highlight w:val="none"/>
        </w:rPr>
      </w:r>
      <w:bookmarkEnd w:id="200"/>
      <w:r>
        <w:rPr>
          <w:color w:val="auto"/>
          <w:highlight w:val="none"/>
        </w:rPr>
      </w:r>
      <w:bookmarkStart w:id="201" w:name="_Hlt26671244"/>
      <w:r>
        <w:rPr>
          <w:color w:val="auto"/>
          <w:highlight w:val="none"/>
        </w:rPr>
      </w:r>
      <w:bookmarkEnd w:id="201"/>
      <w:r>
        <w:rPr>
          <w:color w:val="auto"/>
          <w:highlight w:val="none"/>
        </w:rPr>
      </w:r>
      <w:r/>
    </w:p>
    <w:p>
      <w:pPr>
        <w:pStyle w:val="873"/>
        <w:jc w:val="center"/>
        <w:rPr>
          <w:rFonts w:hint="eastAsia" w:ascii="宋体" w:hAnsi="宋体"/>
          <w:b/>
          <w:color w:val="auto"/>
          <w:sz w:val="72"/>
          <w:highlight w:val="none"/>
        </w:rPr>
      </w:pPr>
      <w:r>
        <w:rPr>
          <w:rFonts w:hint="eastAsia" w:ascii="宋体" w:hAnsi="宋体"/>
          <w:b/>
          <w:color w:val="auto"/>
          <w:sz w:val="72"/>
          <w:highlight w:val="none"/>
        </w:rPr>
        <w:t xml:space="preserve">投  标  文  件</w:t>
      </w:r>
      <w:r>
        <w:rPr>
          <w:color w:val="auto"/>
          <w:highlight w:val="none"/>
        </w:rPr>
      </w:r>
      <w:r/>
    </w:p>
    <w:p>
      <w:pPr>
        <w:pStyle w:val="873"/>
        <w:jc w:val="center"/>
        <w:rPr>
          <w:rFonts w:hint="eastAsia" w:ascii="宋体" w:hAnsi="宋体"/>
          <w:b/>
          <w:color w:val="auto"/>
          <w:sz w:val="72"/>
          <w:highlight w:val="none"/>
        </w:rPr>
      </w:pPr>
      <w:r>
        <w:rPr>
          <w:rFonts w:hint="eastAsia" w:ascii="宋体" w:hAnsi="宋体"/>
          <w:b/>
          <w:color w:val="auto"/>
          <w:sz w:val="72"/>
          <w:highlight w:val="none"/>
        </w:rPr>
      </w:r>
      <w:r>
        <w:rPr>
          <w:color w:val="auto"/>
          <w:highlight w:val="none"/>
        </w:rPr>
      </w:r>
      <w:r/>
    </w:p>
    <w:p>
      <w:pPr>
        <w:pStyle w:val="873"/>
        <w:jc w:val="center"/>
        <w:rPr>
          <w:rFonts w:hint="eastAsia" w:ascii="宋体" w:hAnsi="宋体"/>
          <w:b/>
          <w:color w:val="auto"/>
          <w:sz w:val="72"/>
          <w:highlight w:val="none"/>
        </w:rPr>
      </w:pPr>
      <w:r>
        <w:rPr>
          <w:rFonts w:hint="eastAsia" w:ascii="宋体" w:hAnsi="宋体"/>
          <w:b/>
          <w:color w:val="auto"/>
          <w:sz w:val="72"/>
          <w:highlight w:val="none"/>
        </w:rPr>
      </w:r>
      <w:r>
        <w:rPr>
          <w:color w:val="auto"/>
          <w:highlight w:val="none"/>
        </w:rPr>
      </w:r>
      <w:r/>
    </w:p>
    <w:p>
      <w:pPr>
        <w:pStyle w:val="873"/>
        <w:jc w:val="center"/>
        <w:rPr>
          <w:rFonts w:hint="eastAsia" w:ascii="宋体" w:hAnsi="宋体"/>
          <w:b/>
          <w:color w:val="auto"/>
          <w:sz w:val="36"/>
          <w:highlight w:val="none"/>
        </w:rPr>
      </w:pPr>
      <w:r>
        <w:rPr>
          <w:rFonts w:hint="eastAsia" w:ascii="宋体" w:hAnsi="宋体"/>
          <w:b/>
          <w:color w:val="auto"/>
          <w:sz w:val="36"/>
          <w:highlight w:val="none"/>
        </w:rPr>
      </w:r>
      <w:r>
        <w:rPr>
          <w:color w:val="auto"/>
          <w:highlight w:val="none"/>
        </w:rPr>
      </w:r>
      <w:r/>
    </w:p>
    <w:p>
      <w:pPr>
        <w:pStyle w:val="873"/>
        <w:jc w:val="center"/>
        <w:rPr>
          <w:rFonts w:hint="eastAsia" w:ascii="宋体" w:hAnsi="宋体"/>
          <w:b/>
          <w:color w:val="auto"/>
          <w:sz w:val="36"/>
          <w:highlight w:val="none"/>
        </w:rPr>
      </w:pPr>
      <w:r>
        <w:rPr>
          <w:rFonts w:hint="eastAsia" w:ascii="宋体" w:hAnsi="宋体"/>
          <w:b/>
          <w:color w:val="auto"/>
          <w:sz w:val="36"/>
          <w:highlight w:val="none"/>
        </w:rPr>
      </w:r>
      <w:r>
        <w:rPr>
          <w:color w:val="auto"/>
          <w:highlight w:val="none"/>
        </w:rPr>
      </w:r>
      <w:r/>
    </w:p>
    <w:p>
      <w:pPr>
        <w:pStyle w:val="873"/>
        <w:jc w:val="center"/>
        <w:rPr>
          <w:rFonts w:hint="eastAsia" w:ascii="宋体" w:hAnsi="宋体"/>
          <w:b/>
          <w:color w:val="auto"/>
          <w:sz w:val="36"/>
          <w:highlight w:val="none"/>
        </w:rPr>
      </w:pPr>
      <w:r>
        <w:rPr>
          <w:rFonts w:hint="eastAsia" w:ascii="宋体" w:hAnsi="宋体"/>
          <w:b/>
          <w:color w:val="auto"/>
          <w:sz w:val="36"/>
          <w:highlight w:val="none"/>
        </w:rPr>
      </w:r>
      <w:r>
        <w:rPr>
          <w:color w:val="auto"/>
          <w:highlight w:val="none"/>
        </w:rPr>
      </w:r>
      <w:r/>
    </w:p>
    <w:p>
      <w:pPr>
        <w:pStyle w:val="873"/>
        <w:ind w:firstLine="1084"/>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rPr>
          <w:color w:val="auto"/>
          <w:highlight w:val="none"/>
        </w:rPr>
      </w:r>
      <w:r/>
    </w:p>
    <w:p>
      <w:pPr>
        <w:pStyle w:val="873"/>
        <w:ind w:firstLine="1084"/>
        <w:rPr>
          <w:rFonts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rPr>
          <w:color w:val="auto"/>
          <w:highlight w:val="none"/>
        </w:rPr>
      </w:r>
      <w:r/>
    </w:p>
    <w:p>
      <w:pPr>
        <w:pStyle w:val="873"/>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（加盖电子公章）   </w:t>
      </w:r>
      <w:r>
        <w:rPr>
          <w:color w:val="auto"/>
          <w:highlight w:val="none"/>
        </w:rPr>
      </w:r>
      <w:r/>
    </w:p>
    <w:p>
      <w:pPr>
        <w:pStyle w:val="873"/>
        <w:rPr>
          <w:rFonts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rPr>
          <w:color w:val="auto"/>
          <w:highlight w:val="none"/>
        </w:rPr>
      </w:r>
      <w:r/>
    </w:p>
    <w:p>
      <w:pPr>
        <w:pStyle w:val="873"/>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rPr>
          <w:color w:val="auto"/>
          <w:highlight w:val="none"/>
        </w:rPr>
      </w:r>
      <w:r/>
    </w:p>
    <w:p>
      <w:pPr>
        <w:pStyle w:val="873"/>
        <w:spacing w:line="440" w:lineRule="exact"/>
        <w:rPr>
          <w:rFonts w:ascii="宋体" w:hAnsi="宋体"/>
          <w:color w:val="auto"/>
          <w:highlight w:val="none"/>
        </w:rPr>
      </w:pPr>
      <w:r>
        <w:rPr>
          <w:rFonts w:ascii="宋体" w:hAnsi="宋体"/>
          <w:color w:val="auto"/>
          <w:highlight w:val="none"/>
        </w:rPr>
      </w:r>
      <w:r>
        <w:rPr>
          <w:color w:val="auto"/>
          <w:highlight w:val="none"/>
        </w:rPr>
      </w:r>
      <w:r/>
    </w:p>
    <w:p>
      <w:pPr>
        <w:pStyle w:val="873"/>
        <w:jc w:val="center"/>
        <w:rPr>
          <w:rFonts w:hint="eastAsia" w:ascii="宋体" w:hAnsi="宋体"/>
          <w:b/>
          <w:bCs/>
          <w:color w:val="auto"/>
          <w:sz w:val="32"/>
          <w:szCs w:val="32"/>
          <w:highlight w:val="none"/>
        </w:rPr>
      </w:pPr>
      <w:r>
        <w:rPr>
          <w:rFonts w:ascii="宋体" w:hAnsi="宋体"/>
          <w:b/>
          <w:color w:val="auto"/>
          <w:sz w:val="36"/>
          <w:highlight w:val="none"/>
          <w:u w:val="single"/>
        </w:rPr>
        <w:br w:type="page" w:clear="all"/>
      </w:r>
      <w:r>
        <w:rPr>
          <w:rFonts w:hint="eastAsia" w:ascii="方正黑体_GBK" w:hAnsi="方正黑体_GBK" w:eastAsia="方正黑体_GBK" w:cs="方正黑体_GBK"/>
          <w:color w:val="auto"/>
          <w:sz w:val="32"/>
          <w:szCs w:val="32"/>
          <w:highlight w:val="none"/>
        </w:rPr>
        <w:t xml:space="preserve">投标文件目录</w:t>
      </w:r>
      <w:r>
        <w:rPr>
          <w:color w:val="auto"/>
          <w:highlight w:val="none"/>
        </w:rPr>
      </w:r>
      <w:r/>
    </w:p>
    <w:p>
      <w:pPr>
        <w:pStyle w:val="873"/>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一、供应商信用承诺函</w:t>
      </w:r>
      <w:r>
        <w:rPr>
          <w:color w:val="auto"/>
          <w:highlight w:val="none"/>
        </w:rPr>
      </w:r>
      <w:r/>
    </w:p>
    <w:p>
      <w:pPr>
        <w:pStyle w:val="873"/>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二、满足特定资格要求的证明文件（如有特定资格要求）</w:t>
      </w:r>
      <w:r>
        <w:rPr>
          <w:color w:val="auto"/>
          <w:highlight w:val="none"/>
        </w:rPr>
      </w:r>
      <w:r/>
    </w:p>
    <w:p>
      <w:pPr>
        <w:pStyle w:val="873"/>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三、法人授权书</w:t>
      </w:r>
      <w:r>
        <w:rPr>
          <w:color w:val="auto"/>
          <w:highlight w:val="none"/>
        </w:rPr>
      </w:r>
      <w:r/>
    </w:p>
    <w:p>
      <w:pPr>
        <w:pStyle w:val="873"/>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四、投标函</w:t>
      </w:r>
      <w:r>
        <w:rPr>
          <w:color w:val="auto"/>
          <w:highlight w:val="none"/>
        </w:rPr>
      </w:r>
      <w:r/>
    </w:p>
    <w:p>
      <w:pPr>
        <w:pStyle w:val="873"/>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五、开标一览表</w:t>
      </w:r>
      <w:r>
        <w:rPr>
          <w:color w:val="auto"/>
          <w:highlight w:val="none"/>
        </w:rPr>
      </w:r>
      <w:r/>
    </w:p>
    <w:p>
      <w:pPr>
        <w:pStyle w:val="873"/>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六、投标分项报价表（如有）</w:t>
      </w:r>
      <w:r>
        <w:rPr>
          <w:color w:val="auto"/>
          <w:highlight w:val="none"/>
        </w:rPr>
      </w:r>
      <w:r/>
    </w:p>
    <w:p>
      <w:pPr>
        <w:pStyle w:val="873"/>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七、技术要求响应及偏离表</w:t>
      </w:r>
      <w:r>
        <w:rPr>
          <w:color w:val="auto"/>
          <w:highlight w:val="none"/>
        </w:rPr>
      </w:r>
      <w:r/>
    </w:p>
    <w:p>
      <w:pPr>
        <w:pStyle w:val="873"/>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八、商务要求响应及偏离表</w:t>
      </w:r>
      <w:r>
        <w:rPr>
          <w:color w:val="auto"/>
          <w:highlight w:val="none"/>
        </w:rPr>
      </w:r>
      <w:r/>
    </w:p>
    <w:p>
      <w:pPr>
        <w:pStyle w:val="873"/>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九、中小企业声明函（如有）</w:t>
      </w:r>
      <w:r>
        <w:rPr>
          <w:color w:val="auto"/>
          <w:highlight w:val="none"/>
        </w:rPr>
      </w:r>
      <w:r/>
    </w:p>
    <w:p>
      <w:pPr>
        <w:pStyle w:val="873"/>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十、残疾人福利性单位声明函（如有）</w:t>
      </w:r>
      <w:r>
        <w:rPr>
          <w:color w:val="auto"/>
          <w:highlight w:val="none"/>
        </w:rPr>
      </w:r>
      <w:r/>
    </w:p>
    <w:p>
      <w:pPr>
        <w:pStyle w:val="873"/>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十一、联合体协议（如有）</w:t>
      </w:r>
      <w:r>
        <w:rPr>
          <w:color w:val="auto"/>
          <w:highlight w:val="none"/>
        </w:rPr>
      </w:r>
      <w:r/>
    </w:p>
    <w:p>
      <w:pPr>
        <w:pStyle w:val="873"/>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十二、关于符合本国产品标准的声明函（如有）</w:t>
      </w:r>
      <w:r>
        <w:rPr>
          <w:color w:val="auto"/>
          <w:highlight w:val="none"/>
        </w:rPr>
      </w:r>
      <w:r/>
    </w:p>
    <w:p>
      <w:pPr>
        <w:pStyle w:val="873"/>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rPr>
          <w:color w:val="auto"/>
          <w:highlight w:val="none"/>
        </w:rPr>
      </w:r>
      <w:r/>
    </w:p>
    <w:p>
      <w:pPr>
        <w:pStyle w:val="873"/>
        <w:ind w:firstLine="480"/>
        <w:spacing w:line="440" w:lineRule="exact"/>
        <w:rPr>
          <w:rFonts w:ascii="宋体" w:hAnsi="宋体"/>
          <w:color w:val="auto"/>
          <w:sz w:val="24"/>
          <w:highlight w:val="none"/>
        </w:rPr>
      </w:pPr>
      <w:r>
        <w:rPr>
          <w:rFonts w:ascii="宋体" w:hAnsi="宋体"/>
          <w:color w:val="auto"/>
          <w:sz w:val="24"/>
          <w:highlight w:val="none"/>
        </w:rPr>
      </w:r>
      <w:r>
        <w:rPr>
          <w:color w:val="auto"/>
          <w:highlight w:val="none"/>
        </w:rPr>
      </w:r>
      <w:r/>
    </w:p>
    <w:p>
      <w:pPr>
        <w:pStyle w:val="954"/>
        <w:rPr>
          <w:color w:val="auto"/>
          <w:sz w:val="24"/>
          <w:highlight w:val="none"/>
        </w:rPr>
      </w:pPr>
      <w:r>
        <w:rPr>
          <w:color w:val="auto"/>
          <w:sz w:val="24"/>
          <w:highlight w:val="none"/>
        </w:rPr>
      </w:r>
      <w:r>
        <w:rPr>
          <w:color w:val="auto"/>
          <w:highlight w:val="none"/>
        </w:rPr>
      </w:r>
      <w:r/>
    </w:p>
    <w:p>
      <w:pPr>
        <w:pStyle w:val="954"/>
        <w:rPr>
          <w:color w:val="auto"/>
          <w:sz w:val="24"/>
          <w:highlight w:val="none"/>
        </w:rPr>
      </w:pPr>
      <w:r>
        <w:rPr>
          <w:color w:val="auto"/>
          <w:sz w:val="24"/>
          <w:highlight w:val="none"/>
        </w:rPr>
      </w:r>
      <w:r>
        <w:rPr>
          <w:color w:val="auto"/>
          <w:highlight w:val="none"/>
        </w:rPr>
      </w:r>
      <w:r/>
    </w:p>
    <w:p>
      <w:pPr>
        <w:pStyle w:val="954"/>
        <w:rPr>
          <w:color w:val="auto"/>
          <w:sz w:val="24"/>
          <w:highlight w:val="none"/>
        </w:rPr>
      </w:pPr>
      <w:r>
        <w:rPr>
          <w:color w:val="auto"/>
          <w:sz w:val="24"/>
          <w:highlight w:val="none"/>
        </w:rPr>
      </w:r>
      <w:r>
        <w:rPr>
          <w:color w:val="auto"/>
          <w:highlight w:val="none"/>
        </w:rPr>
      </w:r>
      <w:r/>
    </w:p>
    <w:p>
      <w:pPr>
        <w:pStyle w:val="954"/>
        <w:rPr>
          <w:color w:val="auto"/>
          <w:sz w:val="24"/>
          <w:highlight w:val="none"/>
        </w:rPr>
      </w:pPr>
      <w:r>
        <w:rPr>
          <w:color w:val="auto"/>
          <w:sz w:val="24"/>
          <w:highlight w:val="none"/>
        </w:rPr>
      </w:r>
      <w:r>
        <w:rPr>
          <w:color w:val="auto"/>
          <w:highlight w:val="none"/>
        </w:rPr>
      </w:r>
      <w:r/>
    </w:p>
    <w:p>
      <w:pPr>
        <w:pStyle w:val="954"/>
        <w:rPr>
          <w:color w:val="auto"/>
          <w:sz w:val="24"/>
          <w:highlight w:val="none"/>
        </w:rPr>
      </w:pPr>
      <w:r>
        <w:rPr>
          <w:color w:val="auto"/>
          <w:sz w:val="24"/>
          <w:highlight w:val="none"/>
        </w:rPr>
      </w:r>
      <w:r>
        <w:rPr>
          <w:color w:val="auto"/>
          <w:highlight w:val="none"/>
        </w:rPr>
      </w:r>
      <w:r/>
    </w:p>
    <w:p>
      <w:pPr>
        <w:pStyle w:val="873"/>
        <w:ind w:firstLine="480"/>
        <w:spacing w:line="440" w:lineRule="exact"/>
        <w:rPr>
          <w:rFonts w:ascii="宋体" w:hAnsi="宋体"/>
          <w:color w:val="auto"/>
          <w:sz w:val="24"/>
          <w:highlight w:val="none"/>
        </w:rPr>
      </w:pPr>
      <w:r>
        <w:rPr>
          <w:rFonts w:ascii="宋体" w:hAnsi="宋体"/>
          <w:color w:val="auto"/>
          <w:sz w:val="24"/>
          <w:highlight w:val="none"/>
        </w:rPr>
      </w:r>
      <w:r>
        <w:rPr>
          <w:color w:val="auto"/>
          <w:highlight w:val="none"/>
        </w:rPr>
      </w:r>
      <w:r/>
    </w:p>
    <w:p>
      <w:pPr>
        <w:pStyle w:val="873"/>
        <w:rPr>
          <w:rFonts w:hint="eastAsia" w:ascii="黑体" w:hAnsi="黑体" w:eastAsia="黑体"/>
          <w:i/>
          <w:color w:val="auto"/>
          <w:sz w:val="32"/>
          <w:szCs w:val="32"/>
          <w:highlight w:val="none"/>
          <w:u w:val="single"/>
        </w:rPr>
      </w:pPr>
      <w:r>
        <w:rPr>
          <w:color w:val="auto"/>
          <w:highlight w:val="none"/>
        </w:rPr>
      </w:r>
      <w:bookmarkEnd w:id="197"/>
      <w:r>
        <w:rPr>
          <w:color w:val="auto"/>
          <w:highlight w:val="none"/>
        </w:rPr>
      </w:r>
      <w:bookmarkEnd w:id="198"/>
      <w:r>
        <w:rPr>
          <w:color w:val="auto"/>
          <w:highlight w:val="none"/>
        </w:rPr>
      </w:r>
      <w:bookmarkEnd w:id="199"/>
      <w:r>
        <w:rPr>
          <w:color w:val="auto"/>
          <w:highlight w:val="none"/>
        </w:rPr>
      </w:r>
      <w:bookmarkStart w:id="202" w:name="_Toc120614284"/>
      <w:r>
        <w:rPr>
          <w:color w:val="auto"/>
          <w:highlight w:val="none"/>
        </w:rPr>
      </w:r>
      <w:r/>
    </w:p>
    <w:p>
      <w:pPr>
        <w:pStyle w:val="873"/>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rPr>
          <w:color w:val="auto"/>
          <w:highlight w:val="none"/>
        </w:rPr>
      </w:r>
      <w:r/>
    </w:p>
    <w:p>
      <w:pPr>
        <w:rPr>
          <w:rFonts w:hint="eastAsia" w:ascii="黑体" w:hAnsi="黑体" w:eastAsia="黑体"/>
          <w:bCs/>
          <w:i/>
          <w:color w:val="auto"/>
          <w:sz w:val="32"/>
          <w:szCs w:val="32"/>
          <w:highlight w:val="none"/>
          <w:u w:val="single"/>
        </w:rPr>
      </w:pPr>
      <w:r>
        <w:rPr>
          <w:rFonts w:hint="eastAsia" w:ascii="黑体" w:hAnsi="黑体" w:eastAsia="黑体"/>
          <w:i/>
          <w:color w:val="auto"/>
          <w:sz w:val="32"/>
          <w:szCs w:val="32"/>
          <w:highlight w:val="none"/>
          <w:u w:val="single"/>
        </w:rPr>
      </w:r>
      <w:r>
        <w:rPr>
          <w:rFonts w:hint="eastAsia" w:ascii="黑体" w:hAnsi="黑体" w:eastAsia="黑体"/>
          <w:i/>
          <w:color w:val="auto"/>
          <w:sz w:val="32"/>
          <w:szCs w:val="32"/>
          <w:highlight w:val="none"/>
          <w:u w:val="single"/>
        </w:rPr>
      </w:r>
    </w:p>
    <w:p>
      <w:pPr>
        <w:rPr>
          <w:rFonts w:hint="eastAsia" w:ascii="黑体" w:hAnsi="黑体" w:eastAsia="黑体"/>
          <w:bCs/>
          <w:i/>
          <w:color w:val="auto"/>
          <w:sz w:val="32"/>
          <w:szCs w:val="32"/>
          <w:highlight w:val="none"/>
          <w:u w:val="single"/>
        </w:rPr>
      </w:pPr>
      <w:r>
        <w:rPr>
          <w:rFonts w:hint="eastAsia" w:ascii="黑体" w:hAnsi="黑体" w:eastAsia="黑体"/>
          <w:bCs/>
          <w:i/>
          <w:color w:val="auto"/>
          <w:sz w:val="32"/>
          <w:szCs w:val="32"/>
          <w:highlight w:val="none"/>
          <w:u w:val="single"/>
        </w:rPr>
      </w:r>
      <w:r>
        <w:rPr>
          <w:rFonts w:hint="eastAsia" w:ascii="黑体" w:hAnsi="黑体" w:eastAsia="黑体"/>
          <w:bCs/>
          <w:i/>
          <w:color w:val="auto"/>
          <w:sz w:val="32"/>
          <w:szCs w:val="32"/>
          <w:highlight w:val="none"/>
          <w:u w:val="single"/>
        </w:rPr>
      </w:r>
    </w:p>
    <w:p>
      <w:pPr>
        <w:rPr>
          <w:rFonts w:hint="eastAsia" w:ascii="黑体" w:hAnsi="黑体" w:eastAsia="黑体"/>
          <w:bCs/>
          <w:i/>
          <w:color w:val="auto"/>
          <w:sz w:val="32"/>
          <w:szCs w:val="32"/>
          <w:highlight w:val="none"/>
          <w:u w:val="single"/>
        </w:rPr>
      </w:pPr>
      <w:r>
        <w:rPr>
          <w:rFonts w:hint="eastAsia" w:ascii="黑体" w:hAnsi="黑体" w:eastAsia="黑体"/>
          <w:bCs/>
          <w:i/>
          <w:color w:val="auto"/>
          <w:sz w:val="32"/>
          <w:szCs w:val="32"/>
          <w:highlight w:val="none"/>
          <w:u w:val="single"/>
        </w:rPr>
      </w:r>
      <w:r>
        <w:rPr>
          <w:rFonts w:hint="eastAsia" w:ascii="黑体" w:hAnsi="黑体" w:eastAsia="黑体"/>
          <w:bCs/>
          <w:i/>
          <w:color w:val="auto"/>
          <w:sz w:val="32"/>
          <w:szCs w:val="32"/>
          <w:highlight w:val="none"/>
          <w:u w:val="single"/>
        </w:rPr>
      </w:r>
    </w:p>
    <w:p>
      <w:pPr>
        <w:rPr>
          <w:rFonts w:hint="eastAsia" w:ascii="黑体" w:hAnsi="黑体" w:eastAsia="黑体"/>
          <w:bCs/>
          <w:i/>
          <w:color w:val="auto"/>
          <w:sz w:val="32"/>
          <w:szCs w:val="32"/>
          <w:highlight w:val="none"/>
          <w:u w:val="single"/>
        </w:rPr>
      </w:pPr>
      <w:r>
        <w:rPr>
          <w:rFonts w:hint="eastAsia" w:ascii="黑体" w:hAnsi="黑体" w:eastAsia="黑体"/>
          <w:bCs/>
          <w:i/>
          <w:color w:val="auto"/>
          <w:sz w:val="32"/>
          <w:szCs w:val="32"/>
          <w:highlight w:val="none"/>
          <w:u w:val="single"/>
        </w:rPr>
      </w:r>
      <w:r>
        <w:rPr>
          <w:rFonts w:hint="eastAsia" w:ascii="黑体" w:hAnsi="黑体" w:eastAsia="黑体"/>
          <w:bCs/>
          <w:i/>
          <w:color w:val="auto"/>
          <w:sz w:val="32"/>
          <w:szCs w:val="32"/>
          <w:highlight w:val="none"/>
          <w:u w:val="single"/>
        </w:rPr>
      </w:r>
    </w:p>
    <w:p>
      <w:pPr>
        <w:pStyle w:val="873"/>
        <w:rPr>
          <w:rFonts w:hint="eastAsia" w:ascii="黑体" w:hAnsi="黑体" w:eastAsia="黑体"/>
          <w:bCs/>
          <w:i/>
          <w:color w:val="auto"/>
          <w:sz w:val="32"/>
          <w:szCs w:val="32"/>
          <w:highlight w:val="none"/>
          <w:u w:val="single"/>
        </w:rPr>
      </w:pPr>
      <w:r>
        <w:rPr>
          <w:rFonts w:hint="eastAsia" w:ascii="黑体" w:hAnsi="黑体" w:eastAsia="黑体"/>
          <w:i/>
          <w:color w:val="auto"/>
          <w:sz w:val="32"/>
          <w:szCs w:val="32"/>
          <w:highlight w:val="none"/>
          <w:u w:val="single"/>
        </w:rPr>
      </w:r>
      <w:r>
        <w:rPr>
          <w:color w:val="auto"/>
          <w:highlight w:val="none"/>
        </w:rPr>
      </w:r>
      <w:r/>
    </w:p>
    <w:p>
      <w:pPr>
        <w:pStyle w:val="873"/>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t xml:space="preserve">一、供应商信用承诺函</w:t>
      </w:r>
      <w:r>
        <w:rPr>
          <w:color w:val="auto"/>
          <w:highlight w:val="none"/>
        </w:rPr>
      </w:r>
      <w:r/>
    </w:p>
    <w:p>
      <w:pPr>
        <w:pStyle w:val="873"/>
        <w:jc w:val="center"/>
        <w:spacing w:line="360" w:lineRule="auto"/>
        <w:rPr>
          <w:rFonts w:hint="eastAsia" w:ascii="方正小标宋简体" w:hAnsi="方正小标宋简体" w:eastAsia="方正小标宋简体" w:cs="方正小标宋简体"/>
          <w:color w:val="auto"/>
          <w:sz w:val="32"/>
          <w:szCs w:val="32"/>
          <w:highlight w:val="none"/>
        </w:rPr>
        <w:outlineLvl w:val="2"/>
      </w:pPr>
      <w:r>
        <w:rPr>
          <w:rFonts w:hint="eastAsia" w:ascii="方正小标宋简体" w:hAnsi="方正小标宋简体" w:eastAsia="方正小标宋简体" w:cs="方正小标宋简体"/>
          <w:color w:val="auto"/>
          <w:sz w:val="32"/>
          <w:szCs w:val="32"/>
          <w:highlight w:val="none"/>
        </w:rPr>
        <w:t xml:space="preserve">供应商信用承诺函</w:t>
      </w:r>
      <w:r>
        <w:rPr>
          <w:color w:val="auto"/>
          <w:highlight w:val="none"/>
        </w:rPr>
      </w:r>
      <w:r/>
    </w:p>
    <w:p>
      <w:pPr>
        <w:pStyle w:val="873"/>
        <w:spacing w:line="460" w:lineRule="exact"/>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南京市公共资源交易中心六合分中心</w:t>
      </w:r>
      <w:r>
        <w:rPr>
          <w:rFonts w:hint="eastAsia" w:ascii="宋体" w:hAnsi="宋体"/>
          <w:color w:val="auto"/>
          <w:sz w:val="24"/>
          <w:szCs w:val="24"/>
          <w:highlight w:val="none"/>
        </w:rPr>
        <w:t xml:space="preserve">：</w:t>
      </w:r>
      <w:r>
        <w:rPr>
          <w:color w:val="auto"/>
          <w:highlight w:val="none"/>
        </w:rPr>
      </w:r>
      <w:r/>
    </w:p>
    <w:p>
      <w:pPr>
        <w:pStyle w:val="873"/>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我</w:t>
      </w:r>
      <w:r>
        <w:rPr>
          <w:rFonts w:hint="eastAsia" w:ascii="宋体" w:hAnsi="宋体"/>
          <w:color w:val="auto"/>
          <w:sz w:val="24"/>
          <w:szCs w:val="24"/>
          <w:highlight w:val="none"/>
          <w:lang w:eastAsia="zh-CN"/>
        </w:rPr>
        <w:t xml:space="preserve">公司（单位）</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（供应商名称）郑重承诺：</w:t>
      </w:r>
      <w:r>
        <w:rPr>
          <w:color w:val="auto"/>
          <w:highlight w:val="none"/>
        </w:rPr>
      </w:r>
      <w:r/>
    </w:p>
    <w:p>
      <w:pPr>
        <w:pStyle w:val="873"/>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我</w:t>
      </w:r>
      <w:r>
        <w:rPr>
          <w:rFonts w:hint="eastAsia" w:ascii="宋体" w:hAnsi="宋体"/>
          <w:color w:val="auto"/>
          <w:sz w:val="24"/>
          <w:szCs w:val="24"/>
          <w:highlight w:val="none"/>
          <w:lang w:eastAsia="zh-CN"/>
        </w:rPr>
        <w:t xml:space="preserve">公司（单位）</w:t>
      </w:r>
      <w:r>
        <w:rPr>
          <w:rFonts w:hint="eastAsia" w:ascii="宋体" w:hAnsi="宋体"/>
          <w:color w:val="auto"/>
          <w:sz w:val="24"/>
          <w:szCs w:val="24"/>
          <w:highlight w:val="none"/>
        </w:rPr>
        <w:t xml:space="preserve">符合下列要求：</w:t>
      </w:r>
      <w:r>
        <w:rPr>
          <w:color w:val="auto"/>
          <w:highlight w:val="none"/>
        </w:rPr>
      </w:r>
      <w:r/>
    </w:p>
    <w:p>
      <w:pPr>
        <w:pStyle w:val="873"/>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(一)具有独立承担民事责任的能力；</w:t>
      </w:r>
      <w:r>
        <w:rPr>
          <w:color w:val="auto"/>
          <w:highlight w:val="none"/>
        </w:rPr>
      </w:r>
      <w:r/>
    </w:p>
    <w:p>
      <w:pPr>
        <w:pStyle w:val="873"/>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(二)具有良好的商业信誉和健全的财务会计制度；</w:t>
      </w:r>
      <w:r>
        <w:rPr>
          <w:color w:val="auto"/>
          <w:highlight w:val="none"/>
        </w:rPr>
      </w:r>
      <w:r/>
    </w:p>
    <w:p>
      <w:pPr>
        <w:pStyle w:val="873"/>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(三)具有履行合同所必需的设备和专业技术能力；</w:t>
      </w:r>
      <w:r>
        <w:rPr>
          <w:color w:val="auto"/>
          <w:highlight w:val="none"/>
        </w:rPr>
      </w:r>
      <w:r/>
    </w:p>
    <w:p>
      <w:pPr>
        <w:pStyle w:val="873"/>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(四)有依法缴纳税收和社会保障资金的良好记录；</w:t>
      </w:r>
      <w:r>
        <w:rPr>
          <w:color w:val="auto"/>
          <w:highlight w:val="none"/>
        </w:rPr>
      </w:r>
      <w:r/>
    </w:p>
    <w:p>
      <w:pPr>
        <w:pStyle w:val="873"/>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(五)参加政府采购活动前三年内，在经营活动中没有重大违法记录。</w:t>
      </w:r>
      <w:r>
        <w:rPr>
          <w:color w:val="auto"/>
          <w:highlight w:val="none"/>
        </w:rPr>
      </w:r>
      <w:r/>
    </w:p>
    <w:p>
      <w:pPr>
        <w:pStyle w:val="873"/>
        <w:ind w:firstLine="492"/>
        <w:pageBreakBefore w:val="0"/>
        <w:spacing w:line="46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(六)我公司（单位）已知晓：单位负责人为同一人或者存在直接控股、管理关系的不同供应商，不得参加同一合同项下的政府采购活动。</w:t>
      </w:r>
      <w:r>
        <w:rPr>
          <w:color w:val="auto"/>
          <w:highlight w:val="none"/>
        </w:rPr>
      </w:r>
      <w:r/>
    </w:p>
    <w:p>
      <w:pPr>
        <w:pStyle w:val="873"/>
        <w:ind w:firstLine="492"/>
        <w:pageBreakBefore w:val="0"/>
        <w:spacing w:line="46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(七)未参加此项目的</w:t>
      </w:r>
      <w:r>
        <w:rPr>
          <w:rFonts w:hint="eastAsia" w:ascii="宋体" w:hAnsi="宋体" w:eastAsia="宋体" w:cs="Times New Roman"/>
          <w:color w:val="auto"/>
          <w:sz w:val="24"/>
          <w:szCs w:val="24"/>
          <w:highlight w:val="none"/>
        </w:rPr>
        <w:t xml:space="preserve">整体设计、规范编制或者项目管理、监理、检测等服务</w:t>
      </w:r>
      <w:r>
        <w:rPr>
          <w:rFonts w:hint="eastAsia" w:ascii="宋体" w:hAnsi="宋体" w:eastAsia="宋体" w:cs="Times New Roman"/>
          <w:color w:val="auto"/>
          <w:sz w:val="24"/>
          <w:szCs w:val="24"/>
          <w:highlight w:val="none"/>
          <w:lang w:eastAsia="zh-CN"/>
        </w:rPr>
        <w:t xml:space="preserve">。</w:t>
      </w:r>
      <w:r>
        <w:rPr>
          <w:color w:val="auto"/>
          <w:highlight w:val="none"/>
        </w:rPr>
      </w:r>
      <w:r/>
    </w:p>
    <w:p>
      <w:pPr>
        <w:pStyle w:val="873"/>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如果我</w:t>
      </w:r>
      <w:r>
        <w:rPr>
          <w:rFonts w:hint="eastAsia" w:ascii="宋体" w:hAnsi="宋体"/>
          <w:color w:val="auto"/>
          <w:sz w:val="24"/>
          <w:szCs w:val="24"/>
          <w:highlight w:val="none"/>
          <w:lang w:eastAsia="zh-CN"/>
        </w:rPr>
        <w:t xml:space="preserve">公司（单位）</w:t>
      </w:r>
      <w:r>
        <w:rPr>
          <w:rFonts w:hint="eastAsia" w:ascii="宋体" w:hAnsi="宋体"/>
          <w:color w:val="auto"/>
          <w:sz w:val="24"/>
          <w:szCs w:val="24"/>
          <w:highlight w:val="none"/>
        </w:rPr>
        <w:t xml:space="preserve">中标，将在中标结果公示后七个工作日内向采购人提供下列材料核验：</w:t>
      </w:r>
      <w:r>
        <w:rPr>
          <w:color w:val="auto"/>
          <w:highlight w:val="none"/>
        </w:rPr>
      </w:r>
      <w:r/>
    </w:p>
    <w:p>
      <w:pPr>
        <w:pStyle w:val="873"/>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（1）营业执照副本或事业单位法人登记证书或其他证明材料；</w:t>
      </w:r>
      <w:r>
        <w:rPr>
          <w:color w:val="auto"/>
          <w:highlight w:val="none"/>
        </w:rPr>
      </w:r>
      <w:r/>
    </w:p>
    <w:p>
      <w:pPr>
        <w:pStyle w:val="873"/>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rPr>
          <w:color w:val="auto"/>
          <w:highlight w:val="none"/>
        </w:rPr>
      </w:r>
      <w:r/>
    </w:p>
    <w:p>
      <w:pPr>
        <w:pStyle w:val="873"/>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（3）履行合同所必需的设备和专业技术能力证明材料；</w:t>
      </w:r>
      <w:r>
        <w:rPr>
          <w:color w:val="auto"/>
          <w:highlight w:val="none"/>
        </w:rPr>
      </w:r>
      <w:r/>
    </w:p>
    <w:p>
      <w:pPr>
        <w:pStyle w:val="873"/>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（4）参加本次政府采购活动前一年内至少一个月依法缴纳税收和社会保障资金的证明材料。</w:t>
      </w:r>
      <w:r>
        <w:rPr>
          <w:color w:val="auto"/>
          <w:highlight w:val="none"/>
        </w:rPr>
      </w:r>
      <w:r/>
    </w:p>
    <w:p>
      <w:pPr>
        <w:pStyle w:val="873"/>
        <w:ind w:firstLine="492"/>
        <w:spacing w:line="460" w:lineRule="exact"/>
        <w:rPr>
          <w:rFonts w:hint="eastAsia"/>
          <w:color w:val="auto"/>
          <w:sz w:val="24"/>
          <w:szCs w:val="24"/>
          <w:highlight w:val="none"/>
        </w:rPr>
      </w:pPr>
      <w:r>
        <w:rPr>
          <w:rFonts w:hint="eastAsia"/>
          <w:color w:val="auto"/>
          <w:sz w:val="24"/>
          <w:szCs w:val="24"/>
          <w:highlight w:val="none"/>
          <w:lang w:val="en-US" w:eastAsia="zh-CN"/>
        </w:rPr>
        <w:t xml:space="preserve">我</w:t>
      </w:r>
      <w:r>
        <w:rPr>
          <w:rFonts w:hint="eastAsia"/>
          <w:color w:val="auto"/>
          <w:sz w:val="24"/>
          <w:szCs w:val="24"/>
          <w:highlight w:val="none"/>
          <w:lang w:eastAsia="zh-CN"/>
        </w:rPr>
        <w:t xml:space="preserve">公司（单位）</w:t>
      </w:r>
      <w:r>
        <w:rPr>
          <w:rFonts w:hint="eastAsia"/>
          <w:color w:val="auto"/>
          <w:sz w:val="24"/>
          <w:szCs w:val="24"/>
          <w:highlight w:val="none"/>
        </w:rPr>
        <w:t xml:space="preserve">对上述承诺内容的真实性、合法性、有效性负责，如有虚假，将依法承担相应责任。</w:t>
      </w:r>
      <w:r>
        <w:rPr>
          <w:color w:val="auto"/>
          <w:highlight w:val="none"/>
        </w:rPr>
      </w:r>
      <w:r/>
    </w:p>
    <w:p>
      <w:pPr>
        <w:pStyle w:val="873"/>
        <w:ind w:firstLine="492"/>
        <w:spacing w:line="460" w:lineRule="exact"/>
        <w:rPr>
          <w:color w:val="auto"/>
          <w:sz w:val="24"/>
          <w:szCs w:val="24"/>
          <w:highlight w:val="none"/>
        </w:rPr>
      </w:pPr>
      <w:r>
        <w:rPr>
          <w:color w:val="auto"/>
          <w:sz w:val="24"/>
          <w:szCs w:val="24"/>
          <w:highlight w:val="none"/>
        </w:rPr>
      </w:r>
      <w:r>
        <w:rPr>
          <w:color w:val="auto"/>
          <w:highlight w:val="none"/>
        </w:rPr>
      </w:r>
      <w:r/>
    </w:p>
    <w:p>
      <w:pPr>
        <w:pStyle w:val="991"/>
        <w:rPr>
          <w:color w:val="auto"/>
          <w:sz w:val="24"/>
          <w:szCs w:val="24"/>
          <w:highlight w:val="none"/>
        </w:rPr>
      </w:pPr>
      <w:r>
        <w:rPr>
          <w:color w:val="auto"/>
          <w:sz w:val="24"/>
          <w:szCs w:val="24"/>
          <w:highlight w:val="none"/>
        </w:rPr>
      </w:r>
      <w:r>
        <w:rPr>
          <w:color w:val="auto"/>
          <w:highlight w:val="none"/>
        </w:rPr>
      </w:r>
      <w:r/>
    </w:p>
    <w:p>
      <w:pPr>
        <w:pStyle w:val="873"/>
        <w:ind w:right="180" w:firstLine="360"/>
        <w:jc w:val="right"/>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供应商名称：（加盖电子公章）</w:t>
      </w:r>
      <w:r>
        <w:rPr>
          <w:color w:val="auto"/>
          <w:highlight w:val="none"/>
        </w:rPr>
      </w:r>
      <w:r/>
    </w:p>
    <w:p>
      <w:pPr>
        <w:pStyle w:val="873"/>
        <w:ind w:firstLine="6240"/>
        <w:spacing w:line="560" w:lineRule="exact"/>
        <w:rPr>
          <w:rFonts w:hint="eastAsia" w:ascii="宋体" w:hAnsi="宋体"/>
          <w:color w:val="auto"/>
          <w:sz w:val="24"/>
          <w:szCs w:val="24"/>
          <w:highlight w:val="none"/>
        </w:rPr>
      </w:pPr>
      <w:r>
        <w:rPr>
          <w:rFonts w:hint="eastAsia"/>
          <w:color w:val="auto"/>
          <w:sz w:val="24"/>
          <w:szCs w:val="24"/>
          <w:highlight w:val="none"/>
        </w:rPr>
        <w:t xml:space="preserve">日  期：</w:t>
      </w:r>
      <w:r>
        <w:rPr>
          <w:color w:val="auto"/>
          <w:highlight w:val="none"/>
        </w:rPr>
      </w:r>
      <w:r/>
    </w:p>
    <w:p>
      <w:pPr>
        <w:pStyle w:val="873"/>
        <w:rPr>
          <w:color w:val="auto"/>
          <w:sz w:val="24"/>
          <w:szCs w:val="24"/>
          <w:highlight w:val="none"/>
        </w:rPr>
      </w:pPr>
      <w:r>
        <w:rPr>
          <w:color w:val="auto"/>
          <w:sz w:val="24"/>
          <w:szCs w:val="24"/>
          <w:highlight w:val="none"/>
        </w:rPr>
      </w:r>
      <w:r>
        <w:rPr>
          <w:color w:val="auto"/>
          <w:highlight w:val="none"/>
        </w:rPr>
      </w:r>
      <w:r/>
    </w:p>
    <w:p>
      <w:pPr>
        <w:pStyle w:val="873"/>
        <w:spacing w:line="440" w:lineRule="exact"/>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p>
      <w:pPr>
        <w:pStyle w:val="873"/>
        <w:rPr>
          <w:rFonts w:hint="eastAsia" w:ascii="黑体" w:hAnsi="黑体" w:eastAsia="黑体"/>
          <w:i/>
          <w:color w:val="auto"/>
          <w:sz w:val="32"/>
          <w:szCs w:val="32"/>
          <w:highlight w:val="none"/>
          <w:u w:val="single"/>
        </w:rPr>
      </w:pPr>
      <w:r>
        <w:rPr>
          <w:rFonts w:hint="eastAsia" w:ascii="黑体" w:hAnsi="黑体" w:eastAsia="黑体"/>
          <w:color w:val="auto"/>
          <w:sz w:val="32"/>
          <w:szCs w:val="32"/>
          <w:highlight w:val="none"/>
        </w:rPr>
        <w:t xml:space="preserve">二、满足特定资格要求的证明文件</w:t>
      </w:r>
      <w:r>
        <w:rPr>
          <w:color w:val="auto"/>
          <w:highlight w:val="none"/>
        </w:rPr>
      </w:r>
      <w:r/>
    </w:p>
    <w:p>
      <w:pPr>
        <w:pStyle w:val="963"/>
        <w:ind w:firstLine="480"/>
        <w:tabs>
          <w:tab w:val="left" w:pos="360" w:leader="none"/>
        </w:tabs>
        <w:rPr>
          <w:rFonts w:hint="eastAsia"/>
          <w:color w:val="auto"/>
          <w:sz w:val="24"/>
          <w:szCs w:val="24"/>
          <w:highlight w:val="none"/>
        </w:rPr>
      </w:pPr>
      <w:r>
        <w:rPr>
          <w:rFonts w:hint="eastAsia"/>
          <w:color w:val="auto"/>
          <w:sz w:val="24"/>
          <w:szCs w:val="24"/>
          <w:highlight w:val="none"/>
        </w:rPr>
        <w:t xml:space="preserve">本项目申请人的特定资格要求中要求提供的材料。</w:t>
      </w:r>
      <w:r>
        <w:rPr>
          <w:color w:val="auto"/>
          <w:highlight w:val="none"/>
        </w:rPr>
      </w:r>
      <w:r/>
    </w:p>
    <w:p>
      <w:pPr>
        <w:pStyle w:val="873"/>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rPr>
          <w:color w:val="auto"/>
          <w:highlight w:val="none"/>
        </w:rPr>
      </w:r>
      <w:r/>
    </w:p>
    <w:p>
      <w:pPr>
        <w:pStyle w:val="993"/>
        <w:rPr>
          <w:rFonts w:hint="eastAsia"/>
          <w:color w:val="auto"/>
          <w:highlight w:val="none"/>
        </w:rPr>
      </w:pPr>
      <w:r>
        <w:rPr>
          <w:rFonts w:hint="eastAsia"/>
          <w:color w:val="auto"/>
          <w:highlight w:val="none"/>
          <w:lang w:eastAsia="zh-CN"/>
        </w:rPr>
      </w:r>
      <w:r>
        <w:rPr>
          <w:color w:val="auto"/>
          <w:highlight w:val="none"/>
        </w:rPr>
      </w:r>
      <w:r/>
    </w:p>
    <w:p>
      <w:pPr>
        <w:pStyle w:val="873"/>
        <w:rPr>
          <w:rFonts w:hint="eastAsia"/>
          <w:color w:val="auto"/>
          <w:highlight w:val="none"/>
        </w:rPr>
      </w:pPr>
      <w:r>
        <w:rPr>
          <w:rFonts w:hint="eastAsia"/>
          <w:color w:val="auto"/>
          <w:highlight w:val="none"/>
        </w:rPr>
      </w:r>
      <w:r>
        <w:rPr>
          <w:color w:val="auto"/>
          <w:highlight w:val="none"/>
        </w:rPr>
      </w:r>
      <w:r/>
    </w:p>
    <w:p>
      <w:pPr>
        <w:pStyle w:val="873"/>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rPr>
          <w:color w:val="auto"/>
          <w:highlight w:val="none"/>
        </w:rPr>
      </w:r>
      <w:r/>
    </w:p>
    <w:p>
      <w:pPr>
        <w:pStyle w:val="873"/>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rPr>
          <w:color w:val="auto"/>
          <w:highlight w:val="none"/>
        </w:rPr>
      </w:r>
      <w:r/>
    </w:p>
    <w:p>
      <w:pPr>
        <w:pStyle w:val="873"/>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rPr>
          <w:color w:val="auto"/>
          <w:highlight w:val="none"/>
        </w:rPr>
      </w:r>
      <w:r/>
    </w:p>
    <w:p>
      <w:pPr>
        <w:pStyle w:val="873"/>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rPr>
          <w:color w:val="auto"/>
          <w:highlight w:val="none"/>
        </w:rPr>
      </w:r>
      <w:r/>
    </w:p>
    <w:p>
      <w:pPr>
        <w:pStyle w:val="873"/>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t xml:space="preserve">三、法人授权书</w:t>
      </w:r>
      <w:r>
        <w:rPr>
          <w:color w:val="auto"/>
          <w:highlight w:val="none"/>
        </w:rPr>
      </w:r>
      <w:r/>
    </w:p>
    <w:p>
      <w:pPr>
        <w:pStyle w:val="873"/>
        <w:jc w:val="center"/>
        <w:spacing w:line="420" w:lineRule="exact"/>
        <w:rPr>
          <w:rFonts w:hint="eastAsia" w:ascii="方正小标宋简体" w:hAnsi="方正小标宋简体" w:eastAsia="方正小标宋简体" w:cs="方正小标宋简体"/>
          <w:color w:val="auto"/>
          <w:sz w:val="32"/>
          <w:szCs w:val="32"/>
          <w:highlight w:val="none"/>
        </w:rPr>
        <w:outlineLvl w:val="2"/>
      </w:pPr>
      <w:r>
        <w:rPr>
          <w:rFonts w:hint="eastAsia" w:ascii="方正小标宋简体" w:hAnsi="方正小标宋简体" w:eastAsia="方正小标宋简体" w:cs="方正小标宋简体"/>
          <w:color w:val="auto"/>
          <w:sz w:val="32"/>
          <w:szCs w:val="32"/>
          <w:highlight w:val="none"/>
        </w:rPr>
        <w:t xml:space="preserve">法人授权书</w:t>
      </w:r>
      <w:r>
        <w:rPr>
          <w:color w:val="auto"/>
          <w:highlight w:val="none"/>
        </w:rPr>
      </w:r>
      <w:r/>
    </w:p>
    <w:p>
      <w:pPr>
        <w:pStyle w:val="963"/>
        <w:ind w:firstLine="480"/>
        <w:spacing w:line="420" w:lineRule="exact"/>
        <w:tabs>
          <w:tab w:val="left" w:pos="360" w:leader="none"/>
        </w:tabs>
        <w:rPr>
          <w:rFonts w:hint="eastAsia"/>
          <w:color w:val="auto"/>
          <w:sz w:val="24"/>
          <w:szCs w:val="24"/>
          <w:highlight w:val="none"/>
        </w:rPr>
      </w:pPr>
      <w:r>
        <w:rPr>
          <w:rFonts w:hint="eastAsia"/>
          <w:color w:val="auto"/>
          <w:sz w:val="24"/>
          <w:szCs w:val="24"/>
          <w:highlight w:val="none"/>
        </w:rPr>
      </w:r>
      <w:r>
        <w:rPr>
          <w:color w:val="auto"/>
          <w:highlight w:val="none"/>
        </w:rPr>
      </w:r>
      <w:r/>
    </w:p>
    <w:p>
      <w:pPr>
        <w:pStyle w:val="963"/>
        <w:ind w:firstLine="480"/>
        <w:spacing w:line="480" w:lineRule="exact"/>
        <w:tabs>
          <w:tab w:val="left" w:pos="360" w:leader="none"/>
        </w:tabs>
        <w:rPr>
          <w:rFonts w:hint="eastAsia"/>
          <w:color w:val="auto"/>
          <w:sz w:val="24"/>
          <w:szCs w:val="24"/>
          <w:highlight w:val="none"/>
        </w:rPr>
      </w:pPr>
      <w:r>
        <w:rPr>
          <w:rFonts w:hint="eastAsia"/>
          <w:color w:val="auto"/>
          <w:sz w:val="24"/>
          <w:szCs w:val="24"/>
          <w:highlight w:val="none"/>
        </w:rPr>
        <w:t xml:space="preserve">本授权书声明：</w:t>
      </w:r>
      <w:r>
        <w:rPr>
          <w:rFonts w:hint="eastAsia" w:ascii="宋体" w:hAnsi="宋体" w:cs="宋体"/>
          <w:color w:val="auto"/>
          <w:sz w:val="24"/>
          <w:szCs w:val="24"/>
          <w:highlight w:val="none"/>
          <w:u w:val="single"/>
        </w:rPr>
        <w:t xml:space="preserve">            </w:t>
      </w:r>
      <w:r>
        <w:rPr>
          <w:rFonts w:hint="eastAsia"/>
          <w:color w:val="auto"/>
          <w:sz w:val="24"/>
          <w:szCs w:val="24"/>
          <w:highlight w:val="none"/>
        </w:rPr>
        <w:t xml:space="preserve">（投标人名称）授权</w:t>
      </w:r>
      <w:r>
        <w:rPr>
          <w:rFonts w:hint="eastAsia" w:ascii="宋体" w:hAnsi="宋体" w:cs="宋体"/>
          <w:color w:val="auto"/>
          <w:sz w:val="24"/>
          <w:szCs w:val="24"/>
          <w:highlight w:val="none"/>
          <w:u w:val="single"/>
        </w:rPr>
        <w:t xml:space="preserve">                 </w:t>
      </w:r>
      <w:r>
        <w:rPr>
          <w:rFonts w:hint="eastAsia"/>
          <w:color w:val="auto"/>
          <w:sz w:val="24"/>
          <w:szCs w:val="24"/>
          <w:highlight w:val="none"/>
        </w:rPr>
        <w:t xml:space="preserve">（被授权人姓名）作为我方参加编号为</w:t>
      </w:r>
      <w:r>
        <w:rPr>
          <w:rFonts w:hint="eastAsia" w:ascii="宋体" w:hAnsi="宋体"/>
          <w:color w:val="auto"/>
          <w:sz w:val="24"/>
          <w:szCs w:val="24"/>
          <w:highlight w:val="none"/>
          <w:u w:val="single"/>
        </w:rPr>
        <w:t xml:space="preserve">                             </w:t>
      </w:r>
      <w:r>
        <w:rPr>
          <w:rFonts w:hint="eastAsia"/>
          <w:color w:val="auto"/>
          <w:sz w:val="24"/>
          <w:szCs w:val="24"/>
          <w:highlight w:val="none"/>
        </w:rPr>
        <w:t xml:space="preserve">项目采购活动的合法代理人，以本单位名义全权处理一切与该项目采购有关的事务。</w:t>
      </w:r>
      <w:r>
        <w:rPr>
          <w:color w:val="auto"/>
          <w:highlight w:val="none"/>
        </w:rPr>
      </w:r>
      <w:r/>
    </w:p>
    <w:p>
      <w:pPr>
        <w:pStyle w:val="963"/>
        <w:ind w:firstLine="480"/>
        <w:spacing w:line="480" w:lineRule="exact"/>
        <w:tabs>
          <w:tab w:val="left" w:pos="360" w:leader="none"/>
        </w:tabs>
        <w:rPr>
          <w:rFonts w:hint="eastAsia"/>
          <w:color w:val="auto"/>
          <w:sz w:val="24"/>
          <w:szCs w:val="24"/>
          <w:highlight w:val="none"/>
        </w:rPr>
      </w:pPr>
      <w:r>
        <w:rPr>
          <w:rFonts w:hint="eastAsia"/>
          <w:color w:val="auto"/>
          <w:sz w:val="24"/>
          <w:szCs w:val="24"/>
          <w:highlight w:val="none"/>
        </w:rPr>
        <w:t xml:space="preserve">本授权书自______年____月____日起生效，特此声明。</w:t>
      </w:r>
      <w:r>
        <w:rPr>
          <w:color w:val="auto"/>
          <w:highlight w:val="none"/>
        </w:rPr>
      </w:r>
      <w:r/>
    </w:p>
    <w:p>
      <w:pPr>
        <w:pStyle w:val="963"/>
        <w:ind w:firstLine="480"/>
        <w:spacing w:line="480" w:lineRule="exact"/>
        <w:tabs>
          <w:tab w:val="left" w:pos="360" w:leader="none"/>
        </w:tabs>
        <w:rPr>
          <w:rFonts w:hint="eastAsia"/>
          <w:color w:val="auto"/>
          <w:sz w:val="24"/>
          <w:szCs w:val="24"/>
          <w:highlight w:val="none"/>
        </w:rPr>
      </w:pPr>
      <w:r>
        <w:rPr>
          <w:rFonts w:hint="eastAsia"/>
          <w:color w:val="auto"/>
          <w:sz w:val="24"/>
          <w:szCs w:val="24"/>
          <w:highlight w:val="none"/>
        </w:rPr>
        <w:t xml:space="preserve">被授权人身份证号码：</w:t>
      </w:r>
      <w:r>
        <w:rPr>
          <w:color w:val="auto"/>
          <w:highlight w:val="none"/>
        </w:rPr>
      </w:r>
      <w:r/>
    </w:p>
    <w:p>
      <w:pPr>
        <w:pStyle w:val="963"/>
        <w:ind w:firstLine="480"/>
        <w:spacing w:line="480" w:lineRule="exact"/>
        <w:tabs>
          <w:tab w:val="left" w:pos="360" w:leader="none"/>
        </w:tabs>
        <w:rPr>
          <w:rFonts w:hint="eastAsia"/>
          <w:color w:val="auto"/>
          <w:sz w:val="24"/>
          <w:szCs w:val="24"/>
          <w:highlight w:val="none"/>
          <w:u w:val="single"/>
        </w:rPr>
      </w:pPr>
      <w:r>
        <w:rPr>
          <w:rFonts w:hint="eastAsia"/>
          <w:color w:val="auto"/>
          <w:sz w:val="24"/>
          <w:szCs w:val="24"/>
          <w:highlight w:val="none"/>
        </w:rPr>
        <w:t xml:space="preserve">被授权人联系电话：（手机）</w:t>
      </w:r>
      <w:r>
        <w:rPr>
          <w:color w:val="auto"/>
          <w:highlight w:val="none"/>
        </w:rPr>
      </w:r>
      <w:r/>
    </w:p>
    <w:p>
      <w:pPr>
        <w:pStyle w:val="963"/>
        <w:ind w:firstLine="468"/>
        <w:spacing w:line="480" w:lineRule="exact"/>
        <w:tabs>
          <w:tab w:val="left" w:pos="360" w:leader="none"/>
        </w:tabs>
        <w:rPr>
          <w:color w:val="auto"/>
          <w:sz w:val="24"/>
          <w:szCs w:val="24"/>
          <w:highlight w:val="none"/>
        </w:rPr>
      </w:pPr>
      <w:r>
        <w:rPr>
          <w:rFonts w:hint="eastAsia"/>
          <w:color w:val="auto"/>
          <w:sz w:val="24"/>
          <w:szCs w:val="24"/>
          <w:highlight w:val="none"/>
        </w:rPr>
        <w:t xml:space="preserve">单位名称：</w:t>
      </w:r>
      <w:r>
        <w:rPr>
          <w:rFonts w:hint="eastAsia" w:ascii="宋体" w:hAnsi="宋体" w:cs="宋体"/>
          <w:color w:val="auto"/>
          <w:sz w:val="24"/>
          <w:szCs w:val="24"/>
          <w:highlight w:val="none"/>
        </w:rPr>
        <w:t xml:space="preserve">（加盖电子公章）</w:t>
      </w:r>
      <w:r>
        <w:rPr>
          <w:color w:val="auto"/>
          <w:highlight w:val="none"/>
        </w:rPr>
      </w:r>
      <w:r/>
    </w:p>
    <w:p>
      <w:pPr>
        <w:pStyle w:val="963"/>
        <w:ind w:firstLine="480"/>
        <w:spacing w:line="480" w:lineRule="exact"/>
        <w:tabs>
          <w:tab w:val="left" w:pos="360" w:leader="none"/>
        </w:tabs>
        <w:rPr>
          <w:rFonts w:hint="eastAsia"/>
          <w:color w:val="auto"/>
          <w:sz w:val="24"/>
          <w:szCs w:val="24"/>
          <w:highlight w:val="none"/>
          <w:u w:val="single"/>
        </w:rPr>
      </w:pPr>
      <w:r>
        <w:rPr>
          <w:rFonts w:hint="eastAsia"/>
          <w:color w:val="auto"/>
          <w:sz w:val="24"/>
          <w:szCs w:val="24"/>
          <w:highlight w:val="none"/>
        </w:rPr>
        <w:t xml:space="preserve">单位地址：</w:t>
      </w:r>
      <w:r>
        <w:rPr>
          <w:color w:val="auto"/>
          <w:highlight w:val="none"/>
        </w:rPr>
      </w:r>
      <w:r/>
    </w:p>
    <w:p>
      <w:pPr>
        <w:pStyle w:val="963"/>
        <w:ind w:firstLine="480"/>
        <w:spacing w:line="480" w:lineRule="exact"/>
        <w:tabs>
          <w:tab w:val="left" w:pos="360" w:leader="none"/>
        </w:tabs>
        <w:rPr>
          <w:rFonts w:hint="eastAsia"/>
          <w:color w:val="auto"/>
          <w:sz w:val="24"/>
          <w:szCs w:val="24"/>
          <w:highlight w:val="none"/>
        </w:rPr>
      </w:pPr>
      <w:r>
        <w:rPr>
          <w:rFonts w:hint="eastAsia"/>
          <w:color w:val="auto"/>
          <w:sz w:val="24"/>
          <w:szCs w:val="24"/>
          <w:highlight w:val="none"/>
        </w:rPr>
        <w:t xml:space="preserve">日    期：</w:t>
      </w:r>
      <w:bookmarkStart w:id="203" w:name="_格式3__银行出具的资信证明"/>
      <w:r>
        <w:rPr>
          <w:color w:val="auto"/>
          <w:highlight w:val="none"/>
        </w:rPr>
      </w:r>
      <w:bookmarkEnd w:id="203"/>
      <w:r>
        <w:rPr>
          <w:color w:val="auto"/>
          <w:highlight w:val="none"/>
        </w:rPr>
      </w:r>
      <w:bookmarkStart w:id="204" w:name="_Hlt26955070"/>
      <w:r>
        <w:rPr>
          <w:color w:val="auto"/>
          <w:highlight w:val="none"/>
        </w:rPr>
      </w:r>
      <w:bookmarkEnd w:id="204"/>
      <w:r>
        <w:rPr>
          <w:color w:val="auto"/>
          <w:highlight w:val="none"/>
        </w:rPr>
      </w:r>
      <w:bookmarkStart w:id="205" w:name="_Hlt26671380"/>
      <w:r>
        <w:rPr>
          <w:color w:val="auto"/>
          <w:highlight w:val="none"/>
        </w:rPr>
      </w:r>
      <w:bookmarkEnd w:id="205"/>
      <w:r>
        <w:rPr>
          <w:color w:val="auto"/>
          <w:highlight w:val="none"/>
        </w:rPr>
      </w:r>
      <w:r/>
    </w:p>
    <w:p>
      <w:pPr>
        <w:pStyle w:val="887"/>
        <w:rPr>
          <w:rFonts w:hint="eastAsia"/>
          <w:i/>
          <w:color w:val="auto"/>
          <w:sz w:val="24"/>
          <w:szCs w:val="24"/>
          <w:highlight w:val="none"/>
          <w:u w:val="single"/>
        </w:rPr>
      </w:pPr>
      <w:r>
        <w:rPr>
          <w:rFonts w:hint="eastAsia"/>
          <w:i/>
          <w:color w:val="auto"/>
          <w:sz w:val="24"/>
          <w:szCs w:val="24"/>
          <w:highlight w:val="none"/>
          <w:u w:val="single"/>
        </w:rPr>
      </w:r>
      <w:r>
        <w:rPr>
          <w:color w:val="auto"/>
          <w:highlight w:val="none"/>
        </w:rPr>
      </w:r>
      <w:r/>
    </w:p>
    <w:p>
      <w:pPr>
        <w:pStyle w:val="887"/>
        <w:rPr>
          <w:rFonts w:hint="eastAsia"/>
          <w:i/>
          <w:color w:val="auto"/>
          <w:sz w:val="24"/>
          <w:szCs w:val="24"/>
          <w:highlight w:val="none"/>
          <w:u w:val="single"/>
        </w:rPr>
      </w:pPr>
      <w:r>
        <w:rPr>
          <w:rFonts w:hint="eastAsia"/>
          <w:i/>
          <w:color w:val="auto"/>
          <w:sz w:val="24"/>
          <w:szCs w:val="24"/>
          <w:highlight w:val="none"/>
          <w:u w:val="single"/>
        </w:rPr>
      </w:r>
      <w:r>
        <w:rPr>
          <w:color w:val="auto"/>
          <w:highlight w:val="none"/>
        </w:rPr>
      </w:r>
      <w:r/>
    </w:p>
    <w:p>
      <w:pPr>
        <w:pStyle w:val="887"/>
        <w:rPr>
          <w:rFonts w:hint="eastAsia"/>
          <w:i/>
          <w:color w:val="auto"/>
          <w:sz w:val="24"/>
          <w:szCs w:val="24"/>
          <w:highlight w:val="none"/>
          <w:u w:val="single"/>
        </w:rPr>
      </w:pPr>
      <w:r>
        <w:rPr>
          <w:rFonts w:hint="eastAsia"/>
          <w:i/>
          <w:color w:val="auto"/>
          <w:sz w:val="24"/>
          <w:szCs w:val="24"/>
          <w:highlight w:val="none"/>
          <w:u w:val="single"/>
        </w:rPr>
      </w:r>
      <w:r>
        <w:rPr>
          <w:color w:val="auto"/>
          <w:highlight w:val="none"/>
        </w:rPr>
      </w:r>
      <w:r/>
    </w:p>
    <w:p>
      <w:pPr>
        <w:pStyle w:val="887"/>
        <w:ind w:firstLine="0"/>
        <w:rPr>
          <w:rFonts w:hint="eastAsia"/>
          <w:color w:val="auto"/>
          <w:highlight w:val="none"/>
        </w:rPr>
      </w:pPr>
      <w:r>
        <w:rPr>
          <w:rFonts w:hint="eastAsia"/>
          <w:color w:val="auto"/>
          <w:highlight w:val="none"/>
        </w:rPr>
      </w:r>
      <w:r>
        <w:rPr>
          <w:color w:val="auto"/>
          <w:highlight w:val="none"/>
        </w:rPr>
      </w:r>
      <w:r/>
    </w:p>
    <w:p>
      <w:pPr>
        <w:pStyle w:val="873"/>
        <w:spacing w:line="460" w:lineRule="exact"/>
        <w:rPr>
          <w:rFonts w:hint="eastAsia" w:ascii="楷体" w:hAnsi="楷体" w:eastAsia="楷体"/>
          <w:bCs/>
          <w:color w:val="auto"/>
          <w:sz w:val="24"/>
          <w:szCs w:val="24"/>
          <w:highlight w:val="none"/>
        </w:rPr>
      </w:pPr>
      <w:r>
        <w:rPr>
          <w:rFonts w:hint="eastAsia" w:ascii="楷体" w:hAnsi="楷体" w:eastAsia="楷体"/>
          <w:bCs/>
          <w:color w:val="auto"/>
          <w:sz w:val="24"/>
          <w:szCs w:val="24"/>
          <w:highlight w:val="none"/>
        </w:rPr>
      </w:r>
      <w:r>
        <w:rPr>
          <w:color w:val="auto"/>
          <w:highlight w:val="none"/>
        </w:rPr>
      </w:r>
      <w:r/>
    </w:p>
    <w:p>
      <w:pPr>
        <w:pStyle w:val="873"/>
        <w:spacing w:line="460" w:lineRule="exact"/>
        <w:rPr>
          <w:rFonts w:hint="eastAsia" w:ascii="宋体" w:hAnsi="宋体"/>
          <w:bCs/>
          <w:color w:val="auto"/>
          <w:sz w:val="24"/>
          <w:highlight w:val="none"/>
        </w:rPr>
      </w:pPr>
      <w:r>
        <w:rPr>
          <w:rFonts w:hint="eastAsia" w:ascii="宋体" w:hAnsi="宋体"/>
          <w:bCs/>
          <w:color w:val="auto"/>
          <w:sz w:val="24"/>
          <w:highlight w:val="none"/>
        </w:rPr>
      </w:r>
      <w:r>
        <w:rPr>
          <w:color w:val="auto"/>
          <w:highlight w:val="none"/>
        </w:rPr>
      </w:r>
      <w:r/>
    </w:p>
    <w:p>
      <w:pPr>
        <w:pStyle w:val="954"/>
        <w:rPr>
          <w:rFonts w:hint="eastAsia"/>
          <w:color w:val="auto"/>
          <w:sz w:val="24"/>
          <w:szCs w:val="24"/>
          <w:highlight w:val="none"/>
        </w:rPr>
      </w:pPr>
      <w:r>
        <w:rPr>
          <w:rFonts w:hint="eastAsia"/>
          <w:bCs/>
          <w:color w:val="auto"/>
          <w:sz w:val="24"/>
          <w:highlight w:val="none"/>
        </w:rPr>
      </w:r>
      <w:r>
        <w:rPr>
          <w:rFonts w:hint="eastAsia"/>
          <w:bCs/>
          <w:color w:val="auto"/>
          <w:sz w:val="24"/>
          <w:highlight w:val="none"/>
        </w:rPr>
      </w:r>
    </w:p>
    <w:p>
      <w:pPr>
        <w:pStyle w:val="954"/>
        <w:rPr>
          <w:rFonts w:hint="eastAsia"/>
          <w:color w:val="auto"/>
          <w:sz w:val="24"/>
          <w:szCs w:val="24"/>
          <w:highlight w:val="none"/>
        </w:rPr>
      </w:pPr>
      <w:r>
        <w:rPr>
          <w:rFonts w:hint="eastAsia"/>
          <w:color w:val="auto"/>
          <w:sz w:val="24"/>
          <w:szCs w:val="24"/>
          <w:highlight w:val="none"/>
        </w:rPr>
      </w:r>
      <w:r>
        <w:rPr>
          <w:rFonts w:hint="eastAsia"/>
          <w:color w:val="auto"/>
          <w:sz w:val="24"/>
          <w:szCs w:val="24"/>
          <w:highlight w:val="none"/>
        </w:rPr>
      </w:r>
    </w:p>
    <w:p>
      <w:pPr>
        <w:pStyle w:val="954"/>
        <w:rPr>
          <w:rFonts w:hint="eastAsia"/>
          <w:color w:val="auto"/>
          <w:sz w:val="24"/>
          <w:szCs w:val="24"/>
          <w:highlight w:val="none"/>
        </w:rPr>
      </w:pPr>
      <w:r>
        <w:rPr>
          <w:rFonts w:hint="eastAsia"/>
          <w:color w:val="auto"/>
          <w:sz w:val="24"/>
          <w:szCs w:val="24"/>
          <w:highlight w:val="none"/>
        </w:rPr>
      </w:r>
      <w:r>
        <w:rPr>
          <w:rFonts w:hint="eastAsia"/>
          <w:color w:val="auto"/>
          <w:sz w:val="24"/>
          <w:szCs w:val="24"/>
          <w:highlight w:val="none"/>
        </w:rPr>
      </w:r>
    </w:p>
    <w:p>
      <w:pPr>
        <w:pStyle w:val="954"/>
        <w:rPr>
          <w:rFonts w:hint="eastAsia"/>
          <w:color w:val="auto"/>
          <w:sz w:val="24"/>
          <w:szCs w:val="24"/>
          <w:highlight w:val="none"/>
        </w:rPr>
      </w:pPr>
      <w:r>
        <w:rPr>
          <w:rFonts w:hint="eastAsia"/>
          <w:color w:val="auto"/>
          <w:sz w:val="24"/>
          <w:szCs w:val="24"/>
          <w:highlight w:val="none"/>
        </w:rPr>
      </w:r>
      <w:r>
        <w:rPr>
          <w:rFonts w:hint="eastAsia"/>
          <w:color w:val="auto"/>
          <w:sz w:val="24"/>
          <w:szCs w:val="24"/>
          <w:highlight w:val="none"/>
        </w:rPr>
      </w:r>
    </w:p>
    <w:p>
      <w:pPr>
        <w:pStyle w:val="954"/>
        <w:rPr>
          <w:rFonts w:hint="eastAsia"/>
          <w:color w:val="auto"/>
          <w:sz w:val="24"/>
          <w:szCs w:val="24"/>
          <w:highlight w:val="none"/>
        </w:rPr>
      </w:pPr>
      <w:r>
        <w:rPr>
          <w:rFonts w:hint="eastAsia"/>
          <w:color w:val="auto"/>
          <w:sz w:val="24"/>
          <w:szCs w:val="24"/>
          <w:highlight w:val="none"/>
        </w:rPr>
      </w:r>
      <w:r>
        <w:rPr>
          <w:rFonts w:hint="eastAsia"/>
          <w:color w:val="auto"/>
          <w:sz w:val="24"/>
          <w:szCs w:val="24"/>
          <w:highlight w:val="none"/>
        </w:rPr>
      </w:r>
    </w:p>
    <w:p>
      <w:pPr>
        <w:pStyle w:val="954"/>
        <w:rPr>
          <w:rFonts w:hint="eastAsia"/>
          <w:color w:val="auto"/>
          <w:sz w:val="24"/>
          <w:szCs w:val="24"/>
          <w:highlight w:val="none"/>
        </w:rPr>
      </w:pPr>
      <w:r>
        <w:rPr>
          <w:rFonts w:hint="eastAsia"/>
          <w:color w:val="auto"/>
          <w:sz w:val="24"/>
          <w:szCs w:val="24"/>
          <w:highlight w:val="none"/>
        </w:rPr>
      </w:r>
      <w:r>
        <w:rPr>
          <w:rFonts w:hint="eastAsia"/>
          <w:color w:val="auto"/>
          <w:sz w:val="24"/>
          <w:szCs w:val="24"/>
          <w:highlight w:val="none"/>
        </w:rPr>
      </w:r>
    </w:p>
    <w:p>
      <w:pPr>
        <w:pStyle w:val="954"/>
        <w:rPr>
          <w:rFonts w:hint="eastAsia"/>
          <w:color w:val="auto"/>
          <w:sz w:val="24"/>
          <w:szCs w:val="24"/>
          <w:highlight w:val="none"/>
        </w:rPr>
      </w:pPr>
      <w:r>
        <w:rPr>
          <w:rFonts w:hint="eastAsia"/>
          <w:bCs/>
          <w:color w:val="auto"/>
          <w:sz w:val="24"/>
          <w:highlight w:val="none"/>
        </w:rPr>
      </w:r>
      <w:r>
        <w:rPr>
          <w:color w:val="auto"/>
          <w:highlight w:val="none"/>
        </w:rPr>
      </w:r>
      <w:r/>
    </w:p>
    <w:p>
      <w:pPr>
        <w:pStyle w:val="954"/>
        <w:rPr>
          <w:rFonts w:hint="eastAsia"/>
          <w:bCs/>
          <w:color w:val="auto"/>
          <w:sz w:val="24"/>
          <w:highlight w:val="none"/>
        </w:rPr>
      </w:pPr>
      <w:r>
        <w:rPr>
          <w:rFonts w:hint="eastAsia"/>
          <w:bCs/>
          <w:color w:val="auto"/>
          <w:sz w:val="24"/>
          <w:highlight w:val="none"/>
        </w:rPr>
      </w:r>
      <w:r>
        <w:rPr>
          <w:color w:val="auto"/>
          <w:highlight w:val="none"/>
        </w:rPr>
      </w:r>
      <w:r/>
    </w:p>
    <w:p>
      <w:pPr>
        <w:pStyle w:val="873"/>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t xml:space="preserve">四、投标函</w:t>
      </w:r>
      <w:r>
        <w:rPr>
          <w:color w:val="auto"/>
          <w:highlight w:val="none"/>
        </w:rPr>
      </w:r>
      <w:r/>
    </w:p>
    <w:p>
      <w:pPr>
        <w:pStyle w:val="873"/>
        <w:jc w:val="center"/>
        <w:spacing w:line="360" w:lineRule="auto"/>
        <w:rPr>
          <w:rFonts w:hint="eastAsia" w:ascii="方正小标宋简体" w:hAnsi="方正小标宋简体" w:eastAsia="方正小标宋简体" w:cs="方正小标宋简体"/>
          <w:color w:val="auto"/>
          <w:sz w:val="32"/>
          <w:szCs w:val="32"/>
          <w:highlight w:val="none"/>
        </w:rPr>
        <w:outlineLvl w:val="2"/>
      </w:pPr>
      <w:r>
        <w:rPr>
          <w:rFonts w:hint="eastAsia" w:ascii="方正小标宋简体" w:hAnsi="方正小标宋简体" w:eastAsia="方正小标宋简体" w:cs="方正小标宋简体"/>
          <w:color w:val="auto"/>
          <w:sz w:val="32"/>
          <w:szCs w:val="32"/>
          <w:highlight w:val="none"/>
        </w:rPr>
        <w:t xml:space="preserve">投标函</w:t>
      </w:r>
      <w:r>
        <w:rPr>
          <w:color w:val="auto"/>
          <w:highlight w:val="none"/>
        </w:rPr>
      </w:r>
      <w:r/>
    </w:p>
    <w:p>
      <w:pPr>
        <w:pStyle w:val="965"/>
        <w:spacing w:before="0" w:after="0" w:line="420" w:lineRule="exact"/>
        <w:rPr>
          <w:rFonts w:hint="eastAsia" w:ascii="宋体" w:hAnsi="宋体" w:eastAsia="宋体"/>
          <w:color w:val="auto"/>
          <w:szCs w:val="21"/>
          <w:highlight w:val="none"/>
        </w:rPr>
      </w:pPr>
      <w:r>
        <w:rPr>
          <w:rFonts w:hint="eastAsia" w:ascii="宋体" w:hAnsi="宋体"/>
          <w:color w:val="auto"/>
          <w:szCs w:val="21"/>
          <w:highlight w:val="none"/>
        </w:rPr>
        <w:t xml:space="preserve">致：</w:t>
      </w:r>
      <w:r>
        <w:rPr>
          <w:rFonts w:hint="eastAsia" w:ascii="宋体" w:hAnsi="宋体"/>
          <w:color w:val="auto"/>
          <w:szCs w:val="21"/>
          <w:highlight w:val="none"/>
          <w:lang w:eastAsia="zh-CN"/>
        </w:rPr>
        <w:t xml:space="preserve">南京市公共资源交易中心六合分中心</w:t>
      </w:r>
      <w:r>
        <w:rPr>
          <w:color w:val="auto"/>
          <w:highlight w:val="none"/>
        </w:rPr>
      </w:r>
      <w:r/>
    </w:p>
    <w:p>
      <w:pPr>
        <w:pStyle w:val="965"/>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根据贵方编号为</w:t>
      </w:r>
      <w:r>
        <w:rPr>
          <w:rFonts w:hint="eastAsia" w:ascii="宋体" w:hAnsi="宋体"/>
          <w:color w:val="auto"/>
          <w:highlight w:val="none"/>
          <w:u w:val="single"/>
        </w:rPr>
        <w:t xml:space="preserve">                             </w:t>
      </w:r>
      <w:r>
        <w:rPr>
          <w:rFonts w:hint="eastAsia" w:ascii="宋体" w:hAnsi="宋体"/>
          <w:color w:val="auto"/>
          <w:highlight w:val="none"/>
        </w:rPr>
        <w:t xml:space="preserve">的</w:t>
      </w:r>
      <w:r>
        <w:rPr>
          <w:rFonts w:hint="eastAsia" w:ascii="宋体" w:hAnsi="宋体"/>
          <w:color w:val="auto"/>
          <w:szCs w:val="21"/>
          <w:highlight w:val="none"/>
        </w:rPr>
        <w:t xml:space="preserve">项目</w:t>
      </w:r>
      <w:r>
        <w:rPr>
          <w:rFonts w:hint="eastAsia" w:ascii="宋体" w:hAnsi="宋体"/>
          <w:color w:val="auto"/>
          <w:szCs w:val="21"/>
          <w:highlight w:val="none"/>
        </w:rPr>
        <w:t xml:space="preserve">招标文件，我方正式提</w:t>
      </w:r>
      <w:r>
        <w:rPr>
          <w:rFonts w:hint="eastAsia" w:ascii="宋体" w:hAnsi="宋体" w:cs="宋体"/>
          <w:color w:val="auto"/>
          <w:highlight w:val="none"/>
        </w:rPr>
        <w:t xml:space="preserve">交投标函，</w:t>
      </w:r>
      <w:r>
        <w:rPr>
          <w:rFonts w:hint="eastAsia" w:ascii="宋体" w:hAnsi="宋体"/>
          <w:color w:val="auto"/>
          <w:szCs w:val="21"/>
          <w:highlight w:val="none"/>
        </w:rPr>
        <w:t xml:space="preserve">并宣布同意如下内容：</w:t>
      </w:r>
      <w:r>
        <w:rPr>
          <w:color w:val="auto"/>
          <w:highlight w:val="none"/>
        </w:rPr>
      </w:r>
      <w:r/>
    </w:p>
    <w:p>
      <w:pPr>
        <w:pStyle w:val="965"/>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1.按招标文件规定的各项要求，向买方提供所需服务（包含与服务相关的货物）。</w:t>
      </w:r>
      <w:r>
        <w:rPr>
          <w:color w:val="auto"/>
          <w:highlight w:val="none"/>
        </w:rPr>
      </w:r>
      <w:r/>
    </w:p>
    <w:p>
      <w:pPr>
        <w:pStyle w:val="965"/>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2.我们完全理解贵方不一定将合同授予最低报价的投标人。</w:t>
      </w:r>
      <w:r>
        <w:rPr>
          <w:color w:val="auto"/>
          <w:highlight w:val="none"/>
        </w:rPr>
      </w:r>
      <w:r/>
    </w:p>
    <w:p>
      <w:pPr>
        <w:pStyle w:val="965"/>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3.我们已详细审核全部招标文件及其有效补充文件，我们知道必须放弃提出含糊不清或误解问题的权利。</w:t>
      </w:r>
      <w:r>
        <w:rPr>
          <w:color w:val="auto"/>
          <w:highlight w:val="none"/>
        </w:rPr>
      </w:r>
      <w:r/>
    </w:p>
    <w:p>
      <w:pPr>
        <w:pStyle w:val="965"/>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4.我们同意从规定的开标日期起遵循本投标文件，并在规定的投标有效期期满之前均具有约束力。</w:t>
      </w:r>
      <w:r>
        <w:rPr>
          <w:color w:val="auto"/>
          <w:highlight w:val="none"/>
        </w:rPr>
      </w:r>
      <w:r/>
    </w:p>
    <w:p>
      <w:pPr>
        <w:pStyle w:val="965"/>
        <w:spacing w:before="0" w:after="0" w:line="420" w:lineRule="exact"/>
        <w:rPr>
          <w:rFonts w:hint="eastAsia" w:ascii="宋体" w:hAnsi="宋体"/>
          <w:color w:val="auto"/>
          <w:szCs w:val="21"/>
          <w:highlight w:val="none"/>
        </w:rPr>
      </w:pPr>
      <w:r>
        <w:rPr>
          <w:rFonts w:ascii="宋体" w:hAnsi="宋体"/>
          <w:color w:val="auto"/>
          <w:szCs w:val="21"/>
          <w:highlight w:val="none"/>
        </w:rPr>
        <w:t xml:space="preserve">5</w:t>
      </w:r>
      <w:r>
        <w:rPr>
          <w:rFonts w:hint="eastAsia" w:ascii="宋体" w:hAnsi="宋体"/>
          <w:color w:val="auto"/>
          <w:szCs w:val="21"/>
          <w:highlight w:val="none"/>
        </w:rPr>
        <w:t xml:space="preserve">.同意向贵方提供贵方可能另外要求的与投标有关的任何证据或资料，并保证我方已提供和将要提供的文件是真实的、准确的。</w:t>
      </w:r>
      <w:r>
        <w:rPr>
          <w:color w:val="auto"/>
          <w:highlight w:val="none"/>
        </w:rPr>
      </w:r>
      <w:r/>
    </w:p>
    <w:p>
      <w:pPr>
        <w:pStyle w:val="965"/>
        <w:spacing w:before="0" w:after="0" w:line="420" w:lineRule="exact"/>
        <w:rPr>
          <w:rFonts w:hint="eastAsia" w:ascii="宋体" w:hAnsi="宋体"/>
          <w:color w:val="auto"/>
          <w:szCs w:val="21"/>
          <w:highlight w:val="none"/>
        </w:rPr>
      </w:pPr>
      <w:r>
        <w:rPr>
          <w:rFonts w:ascii="宋体" w:hAnsi="宋体"/>
          <w:color w:val="auto"/>
          <w:szCs w:val="21"/>
          <w:highlight w:val="none"/>
        </w:rPr>
        <w:t xml:space="preserve">6</w:t>
      </w:r>
      <w:r>
        <w:rPr>
          <w:rFonts w:hint="eastAsia" w:ascii="宋体" w:hAnsi="宋体"/>
          <w:color w:val="auto"/>
          <w:szCs w:val="21"/>
          <w:highlight w:val="none"/>
        </w:rPr>
        <w:t xml:space="preserve">.一旦我方中标，我方将根据招标文件的规定，严格履行合同的责任和义务，并保证在招标文件规定的时间完成项目，交付买方验收、使用。</w:t>
      </w:r>
      <w:r>
        <w:rPr>
          <w:color w:val="auto"/>
          <w:highlight w:val="none"/>
        </w:rPr>
      </w:r>
      <w:r/>
    </w:p>
    <w:p>
      <w:pPr>
        <w:pStyle w:val="873"/>
        <w:ind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7.我方为：</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大型企业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小型企业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微型企业（在对应</w:t>
      </w: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内</w:t>
      </w:r>
      <w:r>
        <w:rPr>
          <w:rFonts w:hint="eastAsia" w:ascii="宋体" w:hAnsi="宋体"/>
          <w:color w:val="auto"/>
          <w:sz w:val="24"/>
          <w:szCs w:val="24"/>
          <w:highlight w:val="none"/>
          <w:lang w:val="zh-CN"/>
        </w:rPr>
        <w:t xml:space="preserve">打</w:t>
      </w:r>
      <w:r>
        <w:rPr>
          <w:rFonts w:hint="eastAsia" w:ascii="宋体" w:hAnsi="宋体" w:cs="Verdana"/>
          <w:color w:val="auto"/>
          <w:sz w:val="24"/>
          <w:szCs w:val="24"/>
          <w:highlight w:val="none"/>
          <w:lang w:val="zh-CN"/>
        </w:rPr>
        <w:t xml:space="preserve">“√”</w:t>
      </w:r>
      <w:r>
        <w:rPr>
          <w:rFonts w:hint="eastAsia" w:ascii="宋体" w:hAnsi="宋体"/>
          <w:color w:val="auto"/>
          <w:sz w:val="24"/>
          <w:szCs w:val="24"/>
          <w:highlight w:val="none"/>
        </w:rPr>
        <w:t xml:space="preserve">）</w:t>
      </w:r>
      <w:r>
        <w:rPr>
          <w:color w:val="auto"/>
          <w:highlight w:val="none"/>
        </w:rPr>
      </w:r>
      <w:r/>
    </w:p>
    <w:p>
      <w:pPr>
        <w:pStyle w:val="942"/>
        <w:rPr>
          <w:rFonts w:eastAsia="宋体"/>
          <w:color w:val="auto"/>
          <w:highlight w:val="none"/>
        </w:rPr>
      </w:pPr>
      <w:r>
        <w:rPr>
          <w:rFonts w:hint="eastAsia"/>
          <w:color w:val="auto"/>
          <w:sz w:val="24"/>
          <w:szCs w:val="24"/>
          <w:highlight w:val="none"/>
          <w:lang w:val="en-US" w:eastAsia="zh-CN"/>
        </w:rPr>
        <w:t xml:space="preserve">8.我方为：</w:t>
      </w:r>
      <w:r>
        <w:rPr>
          <w:rFonts w:ascii="Wingdings" w:hAnsi="Wingdings" w:eastAsia="Wingdings" w:cs="Wingdings"/>
          <w:color w:val="auto"/>
          <w:sz w:val="24"/>
          <w:szCs w:val="24"/>
          <w:highlight w:val="none"/>
        </w:rPr>
        <w:t xml:space="preserve">¨</w:t>
      </w:r>
      <w:r>
        <w:rPr>
          <w:rFonts w:hint="eastAsia"/>
          <w:color w:val="auto"/>
          <w:sz w:val="24"/>
          <w:szCs w:val="24"/>
          <w:highlight w:val="none"/>
          <w:lang w:val="en-US" w:eastAsia="zh-CN"/>
        </w:rPr>
        <w:t xml:space="preserve">民营企业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lang w:val="en-US" w:eastAsia="zh-CN"/>
        </w:rPr>
        <w:t xml:space="preserve">非民营企业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lang w:val="en-US" w:eastAsia="zh-CN"/>
        </w:rPr>
        <w:t xml:space="preserve">其他</w:t>
      </w:r>
      <w:r>
        <w:rPr>
          <w:rFonts w:hint="eastAsia" w:ascii="宋体" w:hAnsi="宋体"/>
          <w:color w:val="auto"/>
          <w:sz w:val="24"/>
          <w:szCs w:val="24"/>
          <w:highlight w:val="none"/>
        </w:rPr>
        <w:t xml:space="preserve">（在对应</w:t>
      </w: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内</w:t>
      </w:r>
      <w:r>
        <w:rPr>
          <w:rFonts w:hint="eastAsia" w:ascii="宋体" w:hAnsi="宋体"/>
          <w:color w:val="auto"/>
          <w:sz w:val="24"/>
          <w:szCs w:val="24"/>
          <w:highlight w:val="none"/>
          <w:lang w:val="zh-CN"/>
        </w:rPr>
        <w:t xml:space="preserve">打</w:t>
      </w:r>
      <w:r>
        <w:rPr>
          <w:rFonts w:hint="eastAsia" w:ascii="宋体" w:hAnsi="宋体" w:cs="Verdana"/>
          <w:color w:val="auto"/>
          <w:sz w:val="24"/>
          <w:szCs w:val="24"/>
          <w:highlight w:val="none"/>
          <w:lang w:val="zh-CN"/>
        </w:rPr>
        <w:t xml:space="preserve">“√”</w:t>
      </w:r>
      <w:r>
        <w:rPr>
          <w:rFonts w:hint="eastAsia" w:ascii="宋体" w:hAnsi="宋体"/>
          <w:color w:val="auto"/>
          <w:sz w:val="24"/>
          <w:szCs w:val="24"/>
          <w:highlight w:val="none"/>
        </w:rPr>
        <w:t xml:space="preserve">）</w:t>
      </w:r>
      <w:r>
        <w:rPr>
          <w:rFonts w:hint="eastAsia" w:ascii="宋体" w:hAnsi="宋体"/>
          <w:color w:val="auto"/>
          <w:sz w:val="24"/>
          <w:szCs w:val="24"/>
          <w:highlight w:val="none"/>
          <w:u w:val="none"/>
          <w:lang w:val="en-US" w:eastAsia="zh-CN"/>
        </w:rPr>
        <w:t xml:space="preserve">               </w:t>
      </w:r>
      <w:r>
        <w:rPr>
          <w:color w:val="auto"/>
          <w:highlight w:val="none"/>
        </w:rPr>
      </w:r>
      <w:r/>
    </w:p>
    <w:p>
      <w:pPr>
        <w:pStyle w:val="965"/>
        <w:spacing w:before="0" w:after="0" w:line="42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9</w:t>
      </w:r>
      <w:r>
        <w:rPr>
          <w:rFonts w:hint="eastAsia" w:ascii="宋体" w:hAnsi="宋体"/>
          <w:color w:val="auto"/>
          <w:szCs w:val="21"/>
          <w:highlight w:val="none"/>
        </w:rPr>
        <w:t xml:space="preserve">.我方与本次投标有关信息</w:t>
      </w:r>
      <w:r>
        <w:rPr>
          <w:color w:val="auto"/>
          <w:highlight w:val="none"/>
        </w:rPr>
      </w:r>
      <w:r/>
    </w:p>
    <w:p>
      <w:pPr>
        <w:pStyle w:val="965"/>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地  址：</w:t>
      </w:r>
      <w:r>
        <w:rPr>
          <w:color w:val="auto"/>
          <w:highlight w:val="none"/>
        </w:rPr>
      </w:r>
      <w:r/>
    </w:p>
    <w:p>
      <w:pPr>
        <w:pStyle w:val="965"/>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邮  编：</w:t>
      </w:r>
      <w:r>
        <w:rPr>
          <w:color w:val="auto"/>
          <w:highlight w:val="none"/>
        </w:rPr>
      </w:r>
      <w:r/>
    </w:p>
    <w:p>
      <w:pPr>
        <w:pStyle w:val="965"/>
        <w:spacing w:before="0" w:after="0" w:line="420" w:lineRule="exact"/>
        <w:rPr>
          <w:rFonts w:hint="eastAsia" w:ascii="宋体" w:hAnsi="宋体"/>
          <w:color w:val="auto"/>
          <w:szCs w:val="21"/>
          <w:highlight w:val="none"/>
          <w:u w:val="single"/>
        </w:rPr>
      </w:pPr>
      <w:r>
        <w:rPr>
          <w:rFonts w:hint="eastAsia" w:ascii="宋体" w:hAnsi="宋体"/>
          <w:color w:val="auto"/>
          <w:szCs w:val="21"/>
          <w:highlight w:val="none"/>
        </w:rPr>
        <w:t xml:space="preserve">电  话：</w:t>
      </w:r>
      <w:r>
        <w:rPr>
          <w:color w:val="auto"/>
          <w:highlight w:val="none"/>
        </w:rPr>
      </w:r>
      <w:r/>
    </w:p>
    <w:p>
      <w:pPr>
        <w:pStyle w:val="965"/>
        <w:spacing w:before="0" w:after="0" w:line="420" w:lineRule="exact"/>
        <w:rPr>
          <w:rFonts w:hint="eastAsia" w:ascii="宋体" w:hAnsi="宋体"/>
          <w:color w:val="auto"/>
          <w:szCs w:val="21"/>
          <w:highlight w:val="none"/>
          <w:u w:val="single"/>
        </w:rPr>
      </w:pPr>
      <w:r>
        <w:rPr>
          <w:rFonts w:hint="eastAsia" w:ascii="宋体" w:hAnsi="宋体"/>
          <w:color w:val="auto"/>
          <w:szCs w:val="21"/>
          <w:highlight w:val="none"/>
        </w:rPr>
        <w:t xml:space="preserve">传  真：</w:t>
      </w:r>
      <w:r>
        <w:rPr>
          <w:color w:val="auto"/>
          <w:highlight w:val="none"/>
        </w:rPr>
      </w:r>
      <w:r/>
    </w:p>
    <w:p>
      <w:pPr>
        <w:pStyle w:val="965"/>
        <w:spacing w:before="0" w:after="0" w:line="420" w:lineRule="exact"/>
        <w:rPr>
          <w:rFonts w:hint="eastAsia" w:ascii="宋体" w:hAnsi="宋体"/>
          <w:color w:val="auto"/>
          <w:szCs w:val="21"/>
          <w:highlight w:val="none"/>
          <w:u w:val="single"/>
        </w:rPr>
      </w:pPr>
      <w:r>
        <w:rPr>
          <w:rFonts w:hint="eastAsia" w:ascii="宋体" w:hAnsi="宋体"/>
          <w:color w:val="auto"/>
          <w:szCs w:val="21"/>
          <w:highlight w:val="none"/>
        </w:rPr>
        <w:t xml:space="preserve">开户行：</w:t>
      </w:r>
      <w:r>
        <w:rPr>
          <w:color w:val="auto"/>
          <w:highlight w:val="none"/>
        </w:rPr>
      </w:r>
      <w:r/>
    </w:p>
    <w:p>
      <w:pPr>
        <w:pStyle w:val="965"/>
        <w:spacing w:before="0" w:after="0" w:line="420" w:lineRule="exact"/>
        <w:rPr>
          <w:rFonts w:hint="eastAsia" w:ascii="宋体" w:hAnsi="宋体"/>
          <w:color w:val="auto"/>
          <w:szCs w:val="21"/>
          <w:highlight w:val="none"/>
          <w:u w:val="single"/>
        </w:rPr>
      </w:pPr>
      <w:r>
        <w:rPr>
          <w:rFonts w:hint="eastAsia" w:ascii="宋体" w:hAnsi="宋体"/>
          <w:color w:val="auto"/>
          <w:szCs w:val="21"/>
          <w:highlight w:val="none"/>
        </w:rPr>
        <w:t xml:space="preserve">账  号：</w:t>
      </w:r>
      <w:r>
        <w:rPr>
          <w:color w:val="auto"/>
          <w:highlight w:val="none"/>
        </w:rPr>
      </w:r>
      <w:r/>
    </w:p>
    <w:p>
      <w:pPr>
        <w:pStyle w:val="873"/>
        <w:ind w:right="180"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投标人名称：（加盖电子公章）</w:t>
      </w:r>
      <w:r>
        <w:rPr>
          <w:color w:val="auto"/>
          <w:highlight w:val="none"/>
        </w:rPr>
      </w:r>
      <w:r/>
    </w:p>
    <w:p>
      <w:pPr>
        <w:pStyle w:val="965"/>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日  期：</w:t>
      </w:r>
      <w:r>
        <w:rPr>
          <w:color w:val="auto"/>
          <w:highlight w:val="none"/>
        </w:rPr>
      </w:r>
      <w:r/>
    </w:p>
    <w:p>
      <w:pPr>
        <w:pStyle w:val="965"/>
        <w:ind w:left="420"/>
        <w:spacing w:before="0" w:after="0" w:line="420" w:lineRule="exact"/>
        <w:rPr>
          <w:rFonts w:hint="eastAsia" w:ascii="宋体" w:hAnsi="宋体"/>
          <w:color w:val="auto"/>
          <w:szCs w:val="21"/>
          <w:highlight w:val="none"/>
        </w:rPr>
      </w:pPr>
      <w:r>
        <w:rPr>
          <w:rFonts w:hint="eastAsia" w:ascii="宋体" w:hAnsi="宋体"/>
          <w:color w:val="auto"/>
          <w:szCs w:val="21"/>
          <w:highlight w:val="none"/>
        </w:rPr>
      </w:r>
      <w:r>
        <w:rPr>
          <w:color w:val="auto"/>
          <w:highlight w:val="none"/>
        </w:rPr>
      </w:r>
      <w:r/>
    </w:p>
    <w:p>
      <w:pPr>
        <w:pStyle w:val="965"/>
        <w:ind w:left="420"/>
        <w:spacing w:before="0" w:after="0" w:line="420" w:lineRule="exact"/>
        <w:rPr>
          <w:rFonts w:hint="eastAsia" w:ascii="宋体" w:hAnsi="宋体"/>
          <w:color w:val="auto"/>
          <w:szCs w:val="21"/>
          <w:highlight w:val="none"/>
        </w:rPr>
      </w:pPr>
      <w:r>
        <w:rPr>
          <w:rFonts w:hint="eastAsia" w:ascii="宋体" w:hAnsi="宋体"/>
          <w:color w:val="auto"/>
          <w:szCs w:val="21"/>
          <w:highlight w:val="none"/>
        </w:rPr>
      </w:r>
      <w:r>
        <w:rPr>
          <w:color w:val="auto"/>
          <w:highlight w:val="none"/>
        </w:rPr>
      </w:r>
      <w:r/>
    </w:p>
    <w:p>
      <w:pPr>
        <w:ind w:firstLine="240"/>
        <w:jc w:val="center"/>
        <w:spacing w:line="560" w:lineRule="exact"/>
        <w:rPr>
          <w:rFonts w:hint="eastAsia" w:ascii="宋体" w:hAnsi="宋体"/>
          <w:color w:val="auto"/>
          <w:sz w:val="24"/>
          <w:szCs w:val="24"/>
          <w:highlight w:val="none"/>
        </w:rPr>
      </w:pPr>
      <w:r>
        <w:rPr>
          <w:rFonts w:hint="eastAsia" w:ascii="宋体" w:hAnsi="宋体"/>
          <w:bCs/>
          <w:color w:val="auto"/>
          <w:sz w:val="24"/>
          <w:highlight w:val="none"/>
        </w:rPr>
      </w:r>
      <w:r>
        <w:rPr>
          <w:rFonts w:hint="eastAsia" w:ascii="宋体" w:hAnsi="宋体"/>
          <w:bCs/>
          <w:color w:val="auto"/>
          <w:sz w:val="24"/>
          <w:highlight w:val="none"/>
        </w:rPr>
      </w:r>
    </w:p>
    <w:p>
      <w:pPr>
        <w:pStyle w:val="873"/>
        <w:ind w:firstLine="240"/>
        <w:jc w:val="center"/>
        <w:spacing w:line="560" w:lineRule="exact"/>
        <w:rPr>
          <w:rFonts w:hint="eastAsia" w:ascii="宋体" w:hAnsi="宋体"/>
          <w:color w:val="auto"/>
          <w:sz w:val="24"/>
          <w:szCs w:val="24"/>
          <w:highlight w:val="none"/>
        </w:rPr>
      </w:pPr>
      <w:r>
        <w:rPr>
          <w:rFonts w:hint="eastAsia" w:ascii="宋体" w:hAnsi="宋体"/>
          <w:bCs/>
          <w:color w:val="auto"/>
          <w:sz w:val="24"/>
          <w:highlight w:val="none"/>
        </w:rPr>
      </w:r>
      <w:r>
        <w:rPr>
          <w:color w:val="auto"/>
          <w:highlight w:val="none"/>
        </w:rPr>
      </w:r>
      <w:r/>
    </w:p>
    <w:p>
      <w:pPr>
        <w:pStyle w:val="873"/>
        <w:ind w:firstLine="0"/>
        <w:jc w:val="both"/>
        <w:spacing w:line="560" w:lineRule="exact"/>
        <w:rPr>
          <w:rFonts w:hint="eastAsia" w:ascii="宋体" w:hAnsi="宋体"/>
          <w:bCs/>
          <w:color w:val="auto"/>
          <w:sz w:val="24"/>
          <w:highlight w:val="none"/>
        </w:rPr>
      </w:pPr>
      <w:r>
        <w:rPr>
          <w:rFonts w:hint="eastAsia" w:ascii="宋体" w:hAnsi="宋体"/>
          <w:bCs/>
          <w:color w:val="auto"/>
          <w:sz w:val="24"/>
          <w:highlight w:val="none"/>
        </w:rPr>
      </w:r>
      <w:r>
        <w:rPr>
          <w:color w:val="auto"/>
          <w:highlight w:val="none"/>
        </w:rPr>
      </w:r>
      <w:r/>
    </w:p>
    <w:p>
      <w:pPr>
        <w:pStyle w:val="873"/>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t xml:space="preserve">五、开标一览表</w:t>
      </w:r>
      <w:r>
        <w:rPr>
          <w:color w:val="auto"/>
          <w:highlight w:val="none"/>
        </w:rPr>
      </w:r>
      <w:r/>
    </w:p>
    <w:p>
      <w:pPr>
        <w:pStyle w:val="873"/>
        <w:jc w:val="center"/>
        <w:spacing w:line="336" w:lineRule="auto"/>
        <w:rPr>
          <w:rFonts w:hint="eastAsia" w:ascii="方正小标宋简体" w:hAnsi="方正小标宋简体" w:eastAsia="方正小标宋简体" w:cs="方正小标宋简体"/>
          <w:color w:val="auto"/>
          <w:sz w:val="32"/>
          <w:szCs w:val="32"/>
          <w:highlight w:val="none"/>
        </w:rPr>
        <w:outlineLvl w:val="2"/>
      </w:pPr>
      <w:r>
        <w:rPr>
          <w:rFonts w:hint="eastAsia" w:ascii="方正小标宋简体" w:hAnsi="方正小标宋简体" w:eastAsia="方正小标宋简体" w:cs="方正小标宋简体"/>
          <w:color w:val="auto"/>
          <w:sz w:val="32"/>
          <w:szCs w:val="32"/>
          <w:highlight w:val="none"/>
        </w:rPr>
        <w:t xml:space="preserve">开标一览表</w:t>
      </w:r>
      <w:r>
        <w:rPr>
          <w:color w:val="auto"/>
          <w:highlight w:val="none"/>
        </w:rPr>
      </w:r>
      <w:r/>
    </w:p>
    <w:p>
      <w:pPr>
        <w:pStyle w:val="873"/>
        <w:spacing w:line="336"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投标人名称：（加盖电子公章）</w:t>
      </w:r>
      <w:r>
        <w:rPr>
          <w:color w:val="auto"/>
          <w:highlight w:val="none"/>
        </w:rPr>
      </w:r>
      <w:r/>
    </w:p>
    <w:p>
      <w:pPr>
        <w:pStyle w:val="873"/>
        <w:spacing w:line="336" w:lineRule="auto"/>
        <w:rPr>
          <w:color w:val="auto"/>
          <w:sz w:val="24"/>
          <w:szCs w:val="24"/>
          <w:highlight w:val="none"/>
        </w:rPr>
      </w:pPr>
      <w:r>
        <w:rPr>
          <w:rFonts w:hint="eastAsia" w:ascii="宋体" w:hAnsi="宋体"/>
          <w:color w:val="auto"/>
          <w:sz w:val="24"/>
          <w:szCs w:val="24"/>
          <w:highlight w:val="none"/>
        </w:rPr>
        <w:t xml:space="preserve">项目名称：</w:t>
      </w:r>
      <w:r>
        <w:rPr>
          <w:color w:val="auto"/>
          <w:highlight w:val="none"/>
        </w:rPr>
      </w:r>
      <w:r/>
    </w:p>
    <w:p>
      <w:pPr>
        <w:pStyle w:val="873"/>
        <w:spacing w:line="336" w:lineRule="auto"/>
        <w:rPr>
          <w:rFonts w:ascii="宋体" w:hAnsi="宋体"/>
          <w:color w:val="auto"/>
          <w:sz w:val="24"/>
          <w:szCs w:val="24"/>
          <w:highlight w:val="none"/>
        </w:rPr>
      </w:pPr>
      <w:r>
        <w:rPr>
          <w:rFonts w:hint="eastAsia" w:ascii="宋体" w:hAnsi="宋体"/>
          <w:color w:val="auto"/>
          <w:sz w:val="24"/>
          <w:szCs w:val="24"/>
          <w:highlight w:val="none"/>
        </w:rPr>
        <w:t xml:space="preserve">项目编号：                                   采购包号：</w:t>
      </w:r>
      <w:r>
        <w:rPr>
          <w:color w:val="auto"/>
          <w:highlight w:val="none"/>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73"/>
              <w:jc w:val="center"/>
              <w:spacing w:line="336"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投标总报价</w:t>
            </w:r>
            <w:r>
              <w:rPr>
                <w:color w:val="auto"/>
                <w:highlight w:val="none"/>
              </w:rPr>
            </w:r>
            <w:r/>
          </w:p>
        </w:tc>
      </w:tr>
      <w:tr>
        <w:trPr>
          <w:cantSplit/>
          <w:trHeight w:val="780"/>
        </w:trPr>
        <w:tc>
          <w:tcPr>
            <w:tcW w:w="9748" w:type="dxa"/>
            <w:vAlign w:val="center"/>
            <w:textDirection w:val="lrTb"/>
            <w:noWrap w:val="false"/>
          </w:tcPr>
          <w:p>
            <w:pPr>
              <w:pStyle w:val="965"/>
              <w:ind w:firstLine="0"/>
              <w:spacing w:before="0" w:after="0" w:line="336" w:lineRule="auto"/>
              <w:rPr>
                <w:rFonts w:hint="eastAsia" w:ascii="宋体" w:hAnsi="宋体"/>
                <w:color w:val="auto"/>
                <w:szCs w:val="21"/>
                <w:highlight w:val="none"/>
              </w:rPr>
            </w:pPr>
            <w:r>
              <w:rPr>
                <w:rFonts w:hint="eastAsia" w:ascii="宋体" w:hAnsi="宋体" w:cs="宋体"/>
                <w:color w:val="auto"/>
                <w:highlight w:val="none"/>
              </w:rPr>
              <w:t xml:space="preserve">小写（元）：                             </w:t>
            </w:r>
            <w:r>
              <w:rPr>
                <w:color w:val="auto"/>
                <w:highlight w:val="none"/>
              </w:rPr>
            </w:r>
            <w:r/>
          </w:p>
        </w:tc>
      </w:tr>
    </w:tbl>
    <w:p>
      <w:pPr>
        <w:pStyle w:val="873"/>
        <w:spacing w:line="336" w:lineRule="auto"/>
        <w:rPr>
          <w:rFonts w:ascii="宋体" w:hAnsi="宋体"/>
          <w:color w:val="auto"/>
          <w:sz w:val="24"/>
          <w:szCs w:val="24"/>
          <w:highlight w:val="none"/>
        </w:rPr>
      </w:pPr>
      <w:r>
        <w:rPr>
          <w:rFonts w:ascii="宋体" w:hAnsi="宋体"/>
          <w:color w:val="auto"/>
          <w:sz w:val="24"/>
          <w:szCs w:val="24"/>
          <w:highlight w:val="none"/>
        </w:rPr>
      </w:r>
      <w:r>
        <w:rPr>
          <w:color w:val="auto"/>
          <w:highlight w:val="none"/>
        </w:rPr>
      </w:r>
      <w:r/>
    </w:p>
    <w:p>
      <w:pPr>
        <w:pStyle w:val="873"/>
        <w:ind w:firstLine="480"/>
        <w:spacing w:line="336" w:lineRule="auto"/>
        <w:rPr>
          <w:rFonts w:hint="eastAsia" w:ascii="黑体" w:hAnsi="黑体" w:eastAsia="黑体"/>
          <w:b/>
          <w:i/>
          <w:color w:val="auto"/>
          <w:sz w:val="32"/>
          <w:szCs w:val="32"/>
          <w:highlight w:val="none"/>
          <w:u w:val="single"/>
        </w:rPr>
      </w:pPr>
      <w:r>
        <w:rPr>
          <w:rFonts w:hint="eastAsia" w:ascii="宋体" w:hAnsi="宋体"/>
          <w:color w:val="auto"/>
          <w:sz w:val="24"/>
          <w:szCs w:val="24"/>
          <w:highlight w:val="none"/>
        </w:rPr>
        <w:t xml:space="preserve">                                              日  期：</w:t>
      </w:r>
      <w:r>
        <w:rPr>
          <w:color w:val="auto"/>
          <w:highlight w:val="none"/>
        </w:rPr>
      </w:r>
      <w:r/>
    </w:p>
    <w:p>
      <w:pPr>
        <w:pStyle w:val="873"/>
        <w:ind w:firstLine="643"/>
        <w:spacing w:line="480" w:lineRule="exact"/>
        <w:rPr>
          <w:rFonts w:hint="eastAsia" w:ascii="黑体" w:hAnsi="黑体" w:eastAsia="黑体"/>
          <w:b/>
          <w:i/>
          <w:color w:val="auto"/>
          <w:sz w:val="32"/>
          <w:szCs w:val="32"/>
          <w:highlight w:val="none"/>
          <w:u w:val="single"/>
        </w:rPr>
      </w:pPr>
      <w:r>
        <w:rPr>
          <w:rFonts w:hint="eastAsia" w:ascii="黑体" w:hAnsi="黑体" w:eastAsia="黑体"/>
          <w:b/>
          <w:i/>
          <w:color w:val="auto"/>
          <w:sz w:val="32"/>
          <w:szCs w:val="32"/>
          <w:highlight w:val="none"/>
          <w:u w:val="single"/>
        </w:rPr>
      </w:r>
      <w:r>
        <w:rPr>
          <w:color w:val="auto"/>
          <w:highlight w:val="none"/>
        </w:rPr>
      </w:r>
      <w:r/>
    </w:p>
    <w:p>
      <w:pPr>
        <w:pStyle w:val="942"/>
        <w:rPr>
          <w:rFonts w:hint="eastAsia" w:ascii="黑体" w:hAnsi="黑体" w:eastAsia="黑体"/>
          <w:b/>
          <w:i/>
          <w:color w:val="auto"/>
          <w:sz w:val="32"/>
          <w:szCs w:val="32"/>
          <w:highlight w:val="none"/>
          <w:u w:val="single"/>
        </w:rPr>
      </w:pPr>
      <w:r>
        <w:rPr>
          <w:rFonts w:hint="eastAsia" w:ascii="黑体" w:hAnsi="黑体" w:eastAsia="黑体"/>
          <w:b/>
          <w:i/>
          <w:color w:val="auto"/>
          <w:sz w:val="32"/>
          <w:szCs w:val="32"/>
          <w:highlight w:val="none"/>
          <w:u w:val="single"/>
        </w:rPr>
      </w:r>
      <w:r>
        <w:rPr>
          <w:color w:val="auto"/>
          <w:highlight w:val="none"/>
        </w:rPr>
      </w:r>
      <w:r/>
    </w:p>
    <w:p>
      <w:pPr>
        <w:pStyle w:val="873"/>
        <w:rPr>
          <w:rFonts w:hint="eastAsia" w:ascii="黑体" w:hAnsi="黑体" w:eastAsia="黑体"/>
          <w:b/>
          <w:i/>
          <w:color w:val="auto"/>
          <w:sz w:val="32"/>
          <w:szCs w:val="32"/>
          <w:highlight w:val="none"/>
          <w:u w:val="single"/>
        </w:rPr>
      </w:pPr>
      <w:r>
        <w:rPr>
          <w:rFonts w:hint="eastAsia" w:ascii="黑体" w:hAnsi="黑体" w:eastAsia="黑体"/>
          <w:b/>
          <w:i/>
          <w:color w:val="auto"/>
          <w:sz w:val="32"/>
          <w:szCs w:val="32"/>
          <w:highlight w:val="none"/>
          <w:u w:val="single"/>
        </w:rPr>
      </w:r>
      <w:r>
        <w:rPr>
          <w:color w:val="auto"/>
          <w:highlight w:val="none"/>
        </w:rPr>
      </w:r>
      <w:r/>
    </w:p>
    <w:p>
      <w:pPr>
        <w:pStyle w:val="942"/>
        <w:rPr>
          <w:rFonts w:hint="eastAsia" w:ascii="黑体" w:hAnsi="黑体" w:eastAsia="黑体"/>
          <w:b/>
          <w:i/>
          <w:color w:val="auto"/>
          <w:sz w:val="32"/>
          <w:szCs w:val="32"/>
          <w:highlight w:val="none"/>
          <w:u w:val="single"/>
        </w:rPr>
      </w:pPr>
      <w:r>
        <w:rPr>
          <w:rFonts w:hint="eastAsia" w:ascii="黑体" w:hAnsi="黑体" w:eastAsia="黑体"/>
          <w:b/>
          <w:i/>
          <w:color w:val="auto"/>
          <w:sz w:val="32"/>
          <w:szCs w:val="32"/>
          <w:highlight w:val="none"/>
          <w:u w:val="single"/>
        </w:rPr>
      </w:r>
      <w:r>
        <w:rPr>
          <w:color w:val="auto"/>
          <w:highlight w:val="none"/>
        </w:rPr>
      </w:r>
      <w:r/>
    </w:p>
    <w:p>
      <w:pPr>
        <w:pStyle w:val="873"/>
        <w:rPr>
          <w:rFonts w:hint="eastAsia" w:ascii="黑体" w:hAnsi="黑体" w:eastAsia="黑体"/>
          <w:b/>
          <w:i/>
          <w:color w:val="auto"/>
          <w:sz w:val="32"/>
          <w:szCs w:val="32"/>
          <w:highlight w:val="none"/>
          <w:u w:val="single"/>
        </w:rPr>
      </w:pPr>
      <w:r>
        <w:rPr>
          <w:rFonts w:hint="eastAsia" w:ascii="黑体" w:hAnsi="黑体" w:eastAsia="黑体"/>
          <w:b/>
          <w:i/>
          <w:color w:val="auto"/>
          <w:sz w:val="32"/>
          <w:szCs w:val="32"/>
          <w:highlight w:val="none"/>
          <w:u w:val="single"/>
        </w:rPr>
      </w:r>
      <w:r>
        <w:rPr>
          <w:color w:val="auto"/>
          <w:highlight w:val="none"/>
        </w:rPr>
      </w:r>
      <w:r/>
    </w:p>
    <w:p>
      <w:pPr>
        <w:pStyle w:val="942"/>
        <w:rPr>
          <w:rFonts w:hint="eastAsia" w:ascii="黑体" w:hAnsi="黑体" w:eastAsia="黑体"/>
          <w:b/>
          <w:i/>
          <w:color w:val="auto"/>
          <w:sz w:val="32"/>
          <w:szCs w:val="32"/>
          <w:highlight w:val="none"/>
          <w:u w:val="single"/>
        </w:rPr>
      </w:pPr>
      <w:r>
        <w:rPr>
          <w:rFonts w:hint="eastAsia" w:ascii="黑体" w:hAnsi="黑体" w:eastAsia="黑体"/>
          <w:b/>
          <w:i/>
          <w:color w:val="auto"/>
          <w:sz w:val="32"/>
          <w:szCs w:val="32"/>
          <w:highlight w:val="none"/>
          <w:u w:val="single"/>
        </w:rPr>
      </w:r>
      <w:r>
        <w:rPr>
          <w:color w:val="auto"/>
          <w:highlight w:val="none"/>
        </w:rPr>
      </w:r>
      <w:r/>
    </w:p>
    <w:p>
      <w:pPr>
        <w:pStyle w:val="873"/>
        <w:rPr>
          <w:rFonts w:hint="eastAsia" w:ascii="黑体" w:hAnsi="黑体" w:eastAsia="黑体"/>
          <w:b/>
          <w:i/>
          <w:color w:val="auto"/>
          <w:sz w:val="32"/>
          <w:szCs w:val="32"/>
          <w:highlight w:val="none"/>
          <w:u w:val="single"/>
        </w:rPr>
      </w:pPr>
      <w:r>
        <w:rPr>
          <w:rFonts w:hint="eastAsia" w:ascii="黑体" w:hAnsi="黑体" w:eastAsia="黑体"/>
          <w:b/>
          <w:i/>
          <w:color w:val="auto"/>
          <w:sz w:val="32"/>
          <w:szCs w:val="32"/>
          <w:highlight w:val="none"/>
          <w:u w:val="single"/>
        </w:rPr>
      </w:r>
      <w:r>
        <w:rPr>
          <w:color w:val="auto"/>
          <w:highlight w:val="none"/>
        </w:rPr>
      </w:r>
      <w:r/>
    </w:p>
    <w:p>
      <w:pPr>
        <w:pStyle w:val="942"/>
        <w:rPr>
          <w:rFonts w:hint="eastAsia" w:ascii="黑体" w:hAnsi="黑体" w:eastAsia="黑体"/>
          <w:b/>
          <w:i/>
          <w:color w:val="auto"/>
          <w:sz w:val="32"/>
          <w:szCs w:val="32"/>
          <w:highlight w:val="none"/>
          <w:u w:val="single"/>
        </w:rPr>
      </w:pPr>
      <w:r>
        <w:rPr>
          <w:rFonts w:hint="eastAsia" w:ascii="黑体" w:hAnsi="黑体" w:eastAsia="黑体"/>
          <w:b/>
          <w:i/>
          <w:color w:val="auto"/>
          <w:sz w:val="32"/>
          <w:szCs w:val="32"/>
          <w:highlight w:val="none"/>
          <w:u w:val="single"/>
        </w:rPr>
      </w:r>
      <w:r>
        <w:rPr>
          <w:color w:val="auto"/>
          <w:highlight w:val="none"/>
        </w:rPr>
      </w:r>
      <w:r/>
    </w:p>
    <w:p>
      <w:pPr>
        <w:pStyle w:val="873"/>
        <w:rPr>
          <w:rFonts w:hint="eastAsia" w:ascii="黑体" w:hAnsi="黑体" w:eastAsia="黑体"/>
          <w:b/>
          <w:i/>
          <w:color w:val="auto"/>
          <w:sz w:val="32"/>
          <w:szCs w:val="32"/>
          <w:highlight w:val="none"/>
          <w:u w:val="single"/>
        </w:rPr>
      </w:pPr>
      <w:r>
        <w:rPr>
          <w:rFonts w:hint="eastAsia" w:ascii="黑体" w:hAnsi="黑体" w:eastAsia="黑体"/>
          <w:b/>
          <w:i/>
          <w:color w:val="auto"/>
          <w:sz w:val="32"/>
          <w:szCs w:val="32"/>
          <w:highlight w:val="none"/>
          <w:u w:val="single"/>
        </w:rPr>
      </w:r>
      <w:r>
        <w:rPr>
          <w:color w:val="auto"/>
          <w:highlight w:val="none"/>
        </w:rPr>
      </w:r>
      <w:r/>
    </w:p>
    <w:p>
      <w:pPr>
        <w:pStyle w:val="942"/>
        <w:rPr>
          <w:rFonts w:hint="eastAsia" w:ascii="黑体" w:hAnsi="黑体" w:eastAsia="黑体"/>
          <w:b/>
          <w:i/>
          <w:color w:val="auto"/>
          <w:sz w:val="32"/>
          <w:szCs w:val="32"/>
          <w:highlight w:val="none"/>
          <w:u w:val="single"/>
        </w:rPr>
      </w:pPr>
      <w:r>
        <w:rPr>
          <w:rFonts w:hint="eastAsia" w:ascii="黑体" w:hAnsi="黑体" w:eastAsia="黑体"/>
          <w:b/>
          <w:i/>
          <w:color w:val="auto"/>
          <w:sz w:val="32"/>
          <w:szCs w:val="32"/>
          <w:highlight w:val="none"/>
          <w:u w:val="single"/>
        </w:rPr>
      </w:r>
      <w:r>
        <w:rPr>
          <w:color w:val="auto"/>
          <w:highlight w:val="none"/>
        </w:rPr>
      </w:r>
      <w:r/>
    </w:p>
    <w:p>
      <w:pPr>
        <w:pStyle w:val="873"/>
        <w:rPr>
          <w:rFonts w:hint="eastAsia" w:ascii="黑体" w:hAnsi="黑体" w:eastAsia="黑体"/>
          <w:b/>
          <w:i/>
          <w:color w:val="auto"/>
          <w:sz w:val="32"/>
          <w:szCs w:val="32"/>
          <w:highlight w:val="none"/>
          <w:u w:val="single"/>
        </w:rPr>
      </w:pPr>
      <w:r>
        <w:rPr>
          <w:rFonts w:hint="eastAsia" w:ascii="黑体" w:hAnsi="黑体" w:eastAsia="黑体"/>
          <w:b/>
          <w:i/>
          <w:color w:val="auto"/>
          <w:sz w:val="32"/>
          <w:szCs w:val="32"/>
          <w:highlight w:val="none"/>
          <w:u w:val="single"/>
        </w:rPr>
      </w:r>
      <w:r>
        <w:rPr>
          <w:color w:val="auto"/>
          <w:highlight w:val="none"/>
        </w:rPr>
      </w:r>
      <w:r/>
    </w:p>
    <w:p>
      <w:pPr>
        <w:pStyle w:val="873"/>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rPr>
          <w:color w:val="auto"/>
          <w:highlight w:val="none"/>
        </w:rPr>
      </w:r>
      <w:r/>
    </w:p>
    <w:p>
      <w:pPr>
        <w:pStyle w:val="873"/>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rPr>
          <w:color w:val="auto"/>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rPr>
          <w:rFonts w:hint="eastAsia" w:ascii="黑体" w:hAnsi="黑体" w:eastAsia="黑体"/>
          <w:color w:val="auto"/>
          <w:sz w:val="32"/>
          <w:szCs w:val="32"/>
          <w:highlight w:val="none"/>
        </w:rPr>
      </w:r>
    </w:p>
    <w:p>
      <w:pPr>
        <w:pStyle w:val="873"/>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rPr>
          <w:color w:val="auto"/>
          <w:highlight w:val="none"/>
        </w:rPr>
      </w:r>
      <w:r/>
    </w:p>
    <w:p>
      <w:pPr>
        <w:pStyle w:val="873"/>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t xml:space="preserve">六、投标分项报价表</w:t>
      </w:r>
      <w:r>
        <w:rPr>
          <w:color w:val="auto"/>
          <w:highlight w:val="none"/>
        </w:rPr>
      </w:r>
      <w:r/>
    </w:p>
    <w:p>
      <w:pPr>
        <w:pStyle w:val="873"/>
        <w:jc w:val="center"/>
        <w:spacing w:line="360" w:lineRule="auto"/>
        <w:rPr>
          <w:rFonts w:hint="eastAsia" w:ascii="方正小标宋简体" w:hAnsi="方正小标宋简体" w:eastAsia="方正小标宋简体" w:cs="方正小标宋简体"/>
          <w:color w:val="auto"/>
          <w:sz w:val="32"/>
          <w:szCs w:val="32"/>
          <w:highlight w:val="none"/>
        </w:rPr>
        <w:outlineLvl w:val="2"/>
      </w:pPr>
      <w:r>
        <w:rPr>
          <w:rFonts w:hint="eastAsia" w:ascii="方正小标宋简体" w:hAnsi="方正小标宋简体" w:eastAsia="方正小标宋简体" w:cs="方正小标宋简体"/>
          <w:color w:val="auto"/>
          <w:sz w:val="32"/>
          <w:szCs w:val="32"/>
          <w:highlight w:val="none"/>
        </w:rPr>
        <w:t xml:space="preserve">投标分项报价表</w:t>
      </w:r>
      <w:r>
        <w:rPr>
          <w:color w:val="auto"/>
          <w:highlight w:val="none"/>
        </w:rPr>
      </w:r>
      <w:r/>
    </w:p>
    <w:tbl>
      <w:tblPr>
        <w:tblW w:w="10925" w:type="dxa"/>
        <w:tblInd w:w="-5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0"/>
        <w:gridCol w:w="1325"/>
        <w:gridCol w:w="1325"/>
        <w:gridCol w:w="1463"/>
        <w:gridCol w:w="1237"/>
        <w:gridCol w:w="700"/>
        <w:gridCol w:w="1413"/>
        <w:gridCol w:w="1412"/>
        <w:gridCol w:w="1500"/>
      </w:tblGrid>
      <w:tr>
        <w:trPr>
          <w:cantSplit/>
          <w:trHeight w:val="516"/>
        </w:trPr>
        <w:tc>
          <w:tcPr>
            <w:tcW w:w="550" w:type="dxa"/>
            <w:vAlign w:val="center"/>
            <w:vMerge w:val="restart"/>
            <w:textDirection w:val="lrTb"/>
            <w:noWrap w:val="false"/>
          </w:tcPr>
          <w:p>
            <w:pPr>
              <w:pStyle w:val="873"/>
              <w:jc w:val="center"/>
              <w:spacing w:line="0" w:lineRule="atLeas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序号</w:t>
            </w:r>
            <w:r>
              <w:rPr>
                <w:color w:val="auto"/>
                <w:highlight w:val="none"/>
              </w:rPr>
            </w:r>
            <w:r/>
          </w:p>
        </w:tc>
        <w:tc>
          <w:tcPr>
            <w:tcW w:w="1325" w:type="dxa"/>
            <w:vAlign w:val="center"/>
            <w:textDirection w:val="lrTb"/>
            <w:noWrap w:val="false"/>
          </w:tcPr>
          <w:p>
            <w:pPr>
              <w:pStyle w:val="873"/>
              <w:jc w:val="center"/>
              <w:spacing w:line="0" w:lineRule="atLeas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1</w:t>
            </w:r>
            <w:r>
              <w:rPr>
                <w:color w:val="auto"/>
                <w:highlight w:val="none"/>
              </w:rPr>
            </w:r>
            <w:r/>
          </w:p>
        </w:tc>
        <w:tc>
          <w:tcPr>
            <w:tcW w:w="1325" w:type="dxa"/>
            <w:vAlign w:val="center"/>
            <w:textDirection w:val="lrTb"/>
            <w:noWrap w:val="false"/>
          </w:tcPr>
          <w:p>
            <w:pPr>
              <w:pStyle w:val="873"/>
              <w:jc w:val="center"/>
              <w:spacing w:line="0" w:lineRule="atLeas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2</w:t>
            </w:r>
            <w:r>
              <w:rPr>
                <w:color w:val="auto"/>
                <w:highlight w:val="none"/>
              </w:rPr>
            </w:r>
            <w:r/>
          </w:p>
        </w:tc>
        <w:tc>
          <w:tcPr>
            <w:tcW w:w="1463" w:type="dxa"/>
            <w:vAlign w:val="center"/>
            <w:textDirection w:val="lrTb"/>
            <w:noWrap w:val="false"/>
          </w:tcPr>
          <w:p>
            <w:pPr>
              <w:pStyle w:val="873"/>
              <w:jc w:val="center"/>
              <w:spacing w:line="0" w:lineRule="atLeas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3</w:t>
            </w:r>
            <w:r>
              <w:rPr>
                <w:color w:val="auto"/>
                <w:highlight w:val="none"/>
              </w:rPr>
            </w:r>
            <w:r/>
          </w:p>
        </w:tc>
        <w:tc>
          <w:tcPr>
            <w:tcW w:w="1237" w:type="dxa"/>
            <w:vAlign w:val="center"/>
            <w:textDirection w:val="lrTb"/>
            <w:noWrap w:val="false"/>
          </w:tcPr>
          <w:p>
            <w:pPr>
              <w:pStyle w:val="873"/>
              <w:jc w:val="center"/>
              <w:spacing w:line="0" w:lineRule="atLeas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4</w:t>
            </w:r>
            <w:r>
              <w:rPr>
                <w:color w:val="auto"/>
                <w:highlight w:val="none"/>
              </w:rPr>
            </w:r>
            <w:r/>
          </w:p>
        </w:tc>
        <w:tc>
          <w:tcPr>
            <w:tcW w:w="700" w:type="dxa"/>
            <w:vAlign w:val="center"/>
            <w:textDirection w:val="lrTb"/>
            <w:noWrap w:val="false"/>
          </w:tcPr>
          <w:p>
            <w:pPr>
              <w:pStyle w:val="873"/>
              <w:jc w:val="center"/>
              <w:spacing w:line="0" w:lineRule="atLeas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5</w:t>
            </w:r>
            <w:r>
              <w:rPr>
                <w:color w:val="auto"/>
                <w:highlight w:val="none"/>
              </w:rPr>
            </w:r>
            <w:r/>
          </w:p>
        </w:tc>
        <w:tc>
          <w:tcPr>
            <w:tcW w:w="1413" w:type="dxa"/>
            <w:vAlign w:val="center"/>
            <w:textDirection w:val="lrTb"/>
            <w:noWrap w:val="false"/>
          </w:tcPr>
          <w:p>
            <w:pPr>
              <w:pStyle w:val="873"/>
              <w:jc w:val="center"/>
              <w:spacing w:line="0" w:lineRule="atLeas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6</w:t>
            </w:r>
            <w:r>
              <w:rPr>
                <w:color w:val="auto"/>
                <w:highlight w:val="none"/>
              </w:rPr>
            </w:r>
            <w:r/>
          </w:p>
        </w:tc>
        <w:tc>
          <w:tcPr>
            <w:tcW w:w="1412" w:type="dxa"/>
            <w:vAlign w:val="center"/>
            <w:textDirection w:val="lrTb"/>
            <w:noWrap w:val="false"/>
          </w:tcPr>
          <w:p>
            <w:pPr>
              <w:pStyle w:val="873"/>
              <w:jc w:val="center"/>
              <w:spacing w:line="0" w:lineRule="atLeast"/>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7</w:t>
            </w:r>
            <w:r>
              <w:rPr>
                <w:color w:val="auto"/>
                <w:highlight w:val="none"/>
              </w:rPr>
            </w:r>
            <w:r/>
          </w:p>
        </w:tc>
        <w:tc>
          <w:tcPr>
            <w:tcW w:w="1500" w:type="dxa"/>
            <w:vAlign w:val="center"/>
            <w:textDirection w:val="lrTb"/>
            <w:noWrap w:val="false"/>
          </w:tcPr>
          <w:p>
            <w:pPr>
              <w:pStyle w:val="873"/>
              <w:jc w:val="center"/>
              <w:spacing w:line="0" w:lineRule="atLeast"/>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8</w:t>
            </w:r>
            <w:r>
              <w:rPr>
                <w:color w:val="auto"/>
                <w:highlight w:val="none"/>
              </w:rPr>
            </w:r>
            <w:r/>
          </w:p>
        </w:tc>
      </w:tr>
      <w:tr>
        <w:trPr>
          <w:cantSplit/>
          <w:trHeight w:val="543"/>
        </w:trPr>
        <w:tc>
          <w:tcPr>
            <w:tcW w:w="550" w:type="dxa"/>
            <w:vAlign w:val="center"/>
            <w:vMerge w:val="continue"/>
            <w:textDirection w:val="lrTb"/>
            <w:noWrap w:val="false"/>
          </w:tcPr>
          <w:p>
            <w:pPr>
              <w:pStyle w:val="873"/>
              <w:jc w:val="center"/>
              <w:spacing w:line="0" w:lineRule="atLeas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1325" w:type="dxa"/>
            <w:vAlign w:val="center"/>
            <w:textDirection w:val="lrTb"/>
            <w:noWrap w:val="false"/>
          </w:tcPr>
          <w:p>
            <w:pPr>
              <w:pStyle w:val="873"/>
              <w:jc w:val="center"/>
              <w:spacing w:line="0" w:lineRule="atLeas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分项名称</w:t>
            </w:r>
            <w:r>
              <w:rPr>
                <w:color w:val="auto"/>
                <w:highlight w:val="none"/>
              </w:rPr>
            </w:r>
            <w:r/>
          </w:p>
        </w:tc>
        <w:tc>
          <w:tcPr>
            <w:tcW w:w="1325" w:type="dxa"/>
            <w:vAlign w:val="center"/>
            <w:textDirection w:val="lrTb"/>
            <w:noWrap w:val="false"/>
          </w:tcPr>
          <w:p>
            <w:pPr>
              <w:pStyle w:val="873"/>
              <w:jc w:val="center"/>
              <w:spacing w:line="0" w:lineRule="atLeas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养护等级</w:t>
            </w:r>
            <w:r>
              <w:rPr>
                <w:color w:val="auto"/>
                <w:highlight w:val="none"/>
              </w:rPr>
            </w:r>
            <w:r/>
          </w:p>
        </w:tc>
        <w:tc>
          <w:tcPr>
            <w:tcW w:w="1463" w:type="dxa"/>
            <w:vAlign w:val="center"/>
            <w:textDirection w:val="lrTb"/>
            <w:noWrap w:val="false"/>
          </w:tcPr>
          <w:p>
            <w:pPr>
              <w:pStyle w:val="873"/>
              <w:jc w:val="center"/>
              <w:spacing w:line="0" w:lineRule="atLeas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交付期（天）</w:t>
            </w:r>
            <w:r>
              <w:rPr>
                <w:color w:val="auto"/>
                <w:highlight w:val="none"/>
              </w:rPr>
            </w:r>
            <w:r/>
          </w:p>
        </w:tc>
        <w:tc>
          <w:tcPr>
            <w:tcW w:w="1237" w:type="dxa"/>
            <w:vAlign w:val="center"/>
            <w:textDirection w:val="lrTb"/>
            <w:noWrap w:val="false"/>
          </w:tcPr>
          <w:p>
            <w:pPr>
              <w:pStyle w:val="873"/>
              <w:jc w:val="center"/>
              <w:spacing w:line="0" w:lineRule="atLeas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数量</w:t>
            </w:r>
            <w:r>
              <w:rPr>
                <w:color w:val="auto"/>
                <w:highlight w:val="none"/>
              </w:rPr>
            </w:r>
            <w:r/>
          </w:p>
        </w:tc>
        <w:tc>
          <w:tcPr>
            <w:tcW w:w="700" w:type="dxa"/>
            <w:vAlign w:val="center"/>
            <w:textDirection w:val="lrTb"/>
            <w:noWrap w:val="false"/>
          </w:tcPr>
          <w:p>
            <w:pPr>
              <w:pStyle w:val="873"/>
              <w:jc w:val="center"/>
              <w:spacing w:line="0" w:lineRule="atLeas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单位</w:t>
            </w:r>
            <w:r>
              <w:rPr>
                <w:color w:val="auto"/>
                <w:highlight w:val="none"/>
              </w:rPr>
            </w:r>
            <w:r/>
          </w:p>
        </w:tc>
        <w:tc>
          <w:tcPr>
            <w:tcW w:w="1413" w:type="dxa"/>
            <w:vAlign w:val="center"/>
            <w:textDirection w:val="lrTb"/>
            <w:noWrap w:val="false"/>
          </w:tcPr>
          <w:p>
            <w:pPr>
              <w:pStyle w:val="873"/>
              <w:jc w:val="center"/>
              <w:spacing w:line="0" w:lineRule="atLeast"/>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综合单价（元）</w:t>
            </w:r>
            <w:r>
              <w:rPr>
                <w:color w:val="auto"/>
                <w:highlight w:val="none"/>
              </w:rPr>
            </w:r>
            <w:r/>
          </w:p>
        </w:tc>
        <w:tc>
          <w:tcPr>
            <w:tcW w:w="1412" w:type="dxa"/>
            <w:vAlign w:val="center"/>
            <w:textDirection w:val="lrTb"/>
            <w:noWrap w:val="false"/>
          </w:tcPr>
          <w:p>
            <w:pPr>
              <w:pStyle w:val="873"/>
              <w:jc w:val="center"/>
              <w:spacing w:line="0" w:lineRule="atLeas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总价（元）</w:t>
            </w:r>
            <w:r>
              <w:rPr>
                <w:color w:val="auto"/>
                <w:highlight w:val="none"/>
              </w:rPr>
            </w:r>
            <w:r/>
          </w:p>
        </w:tc>
        <w:tc>
          <w:tcPr>
            <w:tcW w:w="1500" w:type="dxa"/>
            <w:vAlign w:val="center"/>
            <w:textDirection w:val="lrTb"/>
            <w:noWrap w:val="false"/>
          </w:tcPr>
          <w:p>
            <w:pPr>
              <w:pStyle w:val="873"/>
              <w:jc w:val="center"/>
              <w:spacing w:line="0" w:lineRule="atLeas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备注</w:t>
            </w:r>
            <w:r>
              <w:rPr>
                <w:color w:val="auto"/>
                <w:highlight w:val="none"/>
              </w:rPr>
            </w:r>
            <w:r/>
          </w:p>
        </w:tc>
      </w:tr>
      <w:tr>
        <w:trPr>
          <w:cantSplit/>
          <w:trHeight w:val="654"/>
        </w:trPr>
        <w:tc>
          <w:tcPr>
            <w:tcW w:w="550" w:type="dxa"/>
            <w:vAlign w:val="center"/>
            <w:textDirection w:val="lrTb"/>
            <w:noWrap w:val="false"/>
          </w:tcPr>
          <w:p>
            <w:pPr>
              <w:pStyle w:val="873"/>
              <w:jc w:val="center"/>
              <w:spacing w:line="0" w:lineRule="atLeas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1</w:t>
            </w:r>
            <w:r>
              <w:rPr>
                <w:color w:val="auto"/>
                <w:highlight w:val="none"/>
              </w:rPr>
            </w:r>
            <w:r/>
          </w:p>
        </w:tc>
        <w:tc>
          <w:tcPr>
            <w:tcW w:w="1325" w:type="dxa"/>
            <w:vAlign w:val="center"/>
            <w:vMerge w:val="restart"/>
            <w:textDirection w:val="lrTb"/>
            <w:noWrap w:val="false"/>
          </w:tcPr>
          <w:p>
            <w:pPr>
              <w:pStyle w:val="873"/>
              <w:jc w:val="center"/>
              <w:spacing w:line="0" w:lineRule="atLeast"/>
              <w:widowControl w:val="off"/>
              <w:rPr>
                <w:rFonts w:hint="eastAsia" w:ascii="宋体" w:hAnsi="宋体" w:eastAsia="宋体" w:cs="Times New Roman"/>
                <w:color w:val="auto"/>
                <w:sz w:val="24"/>
                <w:szCs w:val="24"/>
                <w:highlight w:val="none"/>
              </w:rPr>
            </w:pPr>
            <w:r>
              <w:rPr>
                <w:rFonts w:hint="eastAsia" w:ascii="宋体" w:hAnsi="宋体" w:cs="宋体"/>
                <w:color w:val="auto"/>
                <w:highlight w:val="none"/>
              </w:rPr>
              <w:t xml:space="preserve">绿地养护及硬质景观设施维护管理服务部分</w:t>
            </w:r>
            <w:r>
              <w:rPr>
                <w:color w:val="auto"/>
                <w:highlight w:val="none"/>
              </w:rPr>
            </w:r>
            <w:r/>
          </w:p>
        </w:tc>
        <w:tc>
          <w:tcPr>
            <w:tcW w:w="1325" w:type="dxa"/>
            <w:vAlign w:val="center"/>
            <w:textDirection w:val="lrTb"/>
            <w:noWrap w:val="false"/>
          </w:tcPr>
          <w:p>
            <w:pPr>
              <w:pStyle w:val="873"/>
              <w:jc w:val="center"/>
              <w:spacing w:before="68" w:line="190" w:lineRule="auto"/>
              <w:rPr>
                <w:rFonts w:hint="eastAsia" w:ascii="宋体" w:hAnsi="宋体" w:cs="宋体"/>
                <w:color w:val="auto"/>
                <w:sz w:val="21"/>
                <w:szCs w:val="21"/>
                <w:highlight w:val="none"/>
              </w:rPr>
            </w:pPr>
            <w:r>
              <w:rPr>
                <w:rFonts w:hint="eastAsia" w:ascii="宋体" w:hAnsi="宋体" w:cs="宋体"/>
                <w:color w:val="auto"/>
                <w:highlight w:val="none"/>
                <w:lang w:val="en-US" w:eastAsia="zh-CN"/>
              </w:rPr>
              <w:t xml:space="preserve">一级</w:t>
            </w:r>
            <w:r>
              <w:rPr>
                <w:color w:val="auto"/>
                <w:highlight w:val="none"/>
              </w:rPr>
            </w:r>
            <w:r/>
          </w:p>
        </w:tc>
        <w:tc>
          <w:tcPr>
            <w:tcW w:w="1463" w:type="dxa"/>
            <w:vAlign w:val="center"/>
            <w:textDirection w:val="lrTb"/>
            <w:noWrap w:val="false"/>
          </w:tcPr>
          <w:p>
            <w:pPr>
              <w:pStyle w:val="873"/>
              <w:jc w:val="center"/>
              <w:spacing w:line="0" w:lineRule="atLeast"/>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365</w:t>
            </w:r>
            <w:r>
              <w:rPr>
                <w:color w:val="auto"/>
                <w:highlight w:val="none"/>
              </w:rPr>
            </w:r>
            <w:r/>
          </w:p>
        </w:tc>
        <w:tc>
          <w:tcPr>
            <w:tcW w:w="1237" w:type="dxa"/>
            <w:vAlign w:val="center"/>
            <w:textDirection w:val="lrTb"/>
            <w:noWrap w:val="false"/>
          </w:tcPr>
          <w:p>
            <w:pPr>
              <w:pStyle w:val="873"/>
              <w:jc w:val="center"/>
              <w:spacing w:before="68" w:line="190" w:lineRule="auto"/>
              <w:rPr>
                <w:rFonts w:hint="eastAsia" w:ascii="宋体" w:hAnsi="宋体" w:cs="宋体"/>
                <w:color w:val="auto"/>
                <w:sz w:val="21"/>
                <w:szCs w:val="21"/>
                <w:highlight w:val="none"/>
              </w:rPr>
            </w:pPr>
            <w:r>
              <w:rPr>
                <w:rFonts w:hint="eastAsia" w:ascii="宋体" w:hAnsi="宋体" w:cs="宋体"/>
                <w:color w:val="auto"/>
                <w:highlight w:val="none"/>
                <w:lang w:eastAsia="zh-CN"/>
              </w:rPr>
              <w:t xml:space="preserve">27740</w:t>
            </w:r>
            <w:r>
              <w:rPr>
                <w:color w:val="auto"/>
                <w:highlight w:val="none"/>
              </w:rPr>
            </w:r>
            <w:r/>
          </w:p>
        </w:tc>
        <w:tc>
          <w:tcPr>
            <w:tcW w:w="700" w:type="dxa"/>
            <w:vAlign w:val="center"/>
            <w:textDirection w:val="lrTb"/>
            <w:noWrap w:val="false"/>
          </w:tcPr>
          <w:p>
            <w:pPr>
              <w:pStyle w:val="873"/>
              <w:jc w:val="center"/>
              <w:spacing w:before="68" w:line="190" w:lineRule="auto"/>
              <w:rPr>
                <w:rFonts w:hint="eastAsia" w:ascii="宋体" w:hAnsi="宋体" w:cs="宋体"/>
                <w:color w:val="auto"/>
                <w:sz w:val="21"/>
                <w:szCs w:val="21"/>
                <w:highlight w:val="none"/>
              </w:rPr>
            </w:pPr>
            <w:r>
              <w:rPr>
                <w:rFonts w:hint="eastAsia" w:ascii="宋体" w:hAnsi="宋体" w:cs="宋体"/>
                <w:color w:val="auto"/>
                <w:highlight w:val="none"/>
                <w:lang w:val="en-US" w:eastAsia="zh-CN"/>
              </w:rPr>
              <w:t xml:space="preserve">㎡</w:t>
            </w:r>
            <w:r>
              <w:rPr>
                <w:color w:val="auto"/>
                <w:highlight w:val="none"/>
              </w:rPr>
            </w:r>
            <w:r/>
          </w:p>
        </w:tc>
        <w:tc>
          <w:tcPr>
            <w:tcW w:w="1413" w:type="dxa"/>
            <w:vAlign w:val="center"/>
            <w:textDirection w:val="lrTb"/>
            <w:noWrap w:val="false"/>
          </w:tcPr>
          <w:p>
            <w:pPr>
              <w:pStyle w:val="873"/>
              <w:jc w:val="center"/>
              <w:spacing w:line="0" w:lineRule="atLeas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r>
            <w:r>
              <w:rPr>
                <w:color w:val="auto"/>
                <w:highlight w:val="none"/>
              </w:rPr>
            </w:r>
            <w:r/>
          </w:p>
        </w:tc>
        <w:tc>
          <w:tcPr>
            <w:tcW w:w="1412" w:type="dxa"/>
            <w:vAlign w:val="center"/>
            <w:textDirection w:val="lrTb"/>
            <w:noWrap w:val="false"/>
          </w:tcPr>
          <w:p>
            <w:pPr>
              <w:pStyle w:val="873"/>
              <w:jc w:val="center"/>
              <w:spacing w:line="0" w:lineRule="atLeas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r>
            <w:r>
              <w:rPr>
                <w:color w:val="auto"/>
                <w:highlight w:val="none"/>
              </w:rPr>
            </w:r>
            <w:r/>
          </w:p>
        </w:tc>
        <w:tc>
          <w:tcPr>
            <w:tcW w:w="1500" w:type="dxa"/>
            <w:vAlign w:val="center"/>
            <w:textDirection w:val="lrTb"/>
            <w:noWrap w:val="false"/>
          </w:tcPr>
          <w:p>
            <w:pPr>
              <w:pStyle w:val="873"/>
              <w:jc w:val="center"/>
              <w:spacing w:line="0" w:lineRule="atLeas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r>
            <w:r>
              <w:rPr>
                <w:color w:val="auto"/>
                <w:highlight w:val="none"/>
              </w:rPr>
            </w:r>
            <w:r/>
          </w:p>
        </w:tc>
      </w:tr>
      <w:tr>
        <w:trPr>
          <w:cantSplit/>
          <w:trHeight w:val="654"/>
        </w:trPr>
        <w:tc>
          <w:tcPr>
            <w:tcW w:w="550" w:type="dxa"/>
            <w:vAlign w:val="center"/>
            <w:textDirection w:val="lrTb"/>
            <w:noWrap w:val="false"/>
          </w:tcPr>
          <w:p>
            <w:pPr>
              <w:pStyle w:val="873"/>
              <w:jc w:val="center"/>
              <w:spacing w:line="0" w:lineRule="atLeast"/>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2</w:t>
            </w:r>
            <w:r>
              <w:rPr>
                <w:color w:val="auto"/>
                <w:highlight w:val="none"/>
              </w:rPr>
            </w:r>
            <w:r/>
          </w:p>
        </w:tc>
        <w:tc>
          <w:tcPr>
            <w:tcW w:w="1325" w:type="dxa"/>
            <w:vAlign w:val="center"/>
            <w:vMerge w:val="continue"/>
            <w:textDirection w:val="lrTb"/>
            <w:noWrap w:val="false"/>
          </w:tcPr>
          <w:p>
            <w:pPr>
              <w:pStyle w:val="873"/>
              <w:jc w:val="center"/>
              <w:spacing w:line="0" w:lineRule="atLeast"/>
              <w:widowControl w:val="off"/>
              <w:rPr>
                <w:rFonts w:hint="eastAsia" w:ascii="宋体" w:hAnsi="宋体" w:cs="宋体"/>
                <w:color w:val="000000"/>
                <w:highlight w:val="none"/>
              </w:rPr>
            </w:pPr>
            <w:r>
              <w:rPr>
                <w:rFonts w:hint="eastAsia" w:ascii="宋体" w:hAnsi="宋体" w:cs="宋体"/>
                <w:color w:val="000000"/>
                <w:highlight w:val="none"/>
              </w:rPr>
            </w:r>
            <w:r/>
          </w:p>
        </w:tc>
        <w:tc>
          <w:tcPr>
            <w:tcW w:w="1325" w:type="dxa"/>
            <w:vAlign w:val="center"/>
            <w:textDirection w:val="lrTb"/>
            <w:noWrap w:val="false"/>
          </w:tcPr>
          <w:p>
            <w:pPr>
              <w:pStyle w:val="873"/>
              <w:jc w:val="center"/>
              <w:spacing w:before="68" w:line="190" w:lineRule="auto"/>
              <w:rPr>
                <w:rFonts w:hint="eastAsia" w:ascii="宋体" w:hAnsi="宋体" w:cs="宋体"/>
                <w:color w:val="auto"/>
                <w:sz w:val="21"/>
                <w:szCs w:val="21"/>
                <w:highlight w:val="none"/>
              </w:rPr>
            </w:pPr>
            <w:r>
              <w:rPr>
                <w:rFonts w:hint="eastAsia" w:ascii="宋体" w:hAnsi="宋体" w:cs="宋体"/>
                <w:color w:val="auto"/>
                <w:highlight w:val="none"/>
                <w:lang w:val="en-US" w:eastAsia="zh-CN"/>
              </w:rPr>
              <w:t xml:space="preserve">二级</w:t>
            </w:r>
            <w:r>
              <w:rPr>
                <w:color w:val="auto"/>
                <w:highlight w:val="none"/>
              </w:rPr>
            </w:r>
            <w:r/>
          </w:p>
        </w:tc>
        <w:tc>
          <w:tcPr>
            <w:tcW w:w="1463" w:type="dxa"/>
            <w:vAlign w:val="center"/>
            <w:textDirection w:val="lrTb"/>
            <w:noWrap w:val="false"/>
          </w:tcPr>
          <w:p>
            <w:pPr>
              <w:pStyle w:val="873"/>
              <w:jc w:val="center"/>
              <w:spacing w:line="0" w:lineRule="atLeas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365</w:t>
            </w:r>
            <w:r>
              <w:rPr>
                <w:color w:val="auto"/>
                <w:highlight w:val="none"/>
              </w:rPr>
            </w:r>
            <w:r/>
          </w:p>
        </w:tc>
        <w:tc>
          <w:tcPr>
            <w:tcW w:w="1237" w:type="dxa"/>
            <w:vAlign w:val="center"/>
            <w:textDirection w:val="lrTb"/>
            <w:noWrap w:val="false"/>
          </w:tcPr>
          <w:p>
            <w:pPr>
              <w:pStyle w:val="873"/>
              <w:jc w:val="center"/>
              <w:spacing w:before="68" w:line="190" w:lineRule="auto"/>
              <w:rPr>
                <w:rFonts w:hint="eastAsia" w:ascii="宋体" w:hAnsi="宋体" w:cs="宋体"/>
                <w:color w:val="auto"/>
                <w:sz w:val="21"/>
                <w:szCs w:val="21"/>
                <w:highlight w:val="none"/>
              </w:rPr>
            </w:pPr>
            <w:r>
              <w:rPr>
                <w:rFonts w:hint="eastAsia" w:ascii="宋体" w:hAnsi="宋体" w:cs="宋体"/>
                <w:color w:val="auto"/>
                <w:highlight w:val="none"/>
                <w:lang w:eastAsia="zh-CN"/>
              </w:rPr>
              <w:t xml:space="preserve">655812</w:t>
            </w:r>
            <w:r>
              <w:rPr>
                <w:color w:val="auto"/>
                <w:highlight w:val="none"/>
              </w:rPr>
            </w:r>
            <w:r/>
          </w:p>
        </w:tc>
        <w:tc>
          <w:tcPr>
            <w:tcW w:w="700" w:type="dxa"/>
            <w:vAlign w:val="center"/>
            <w:textDirection w:val="lrTb"/>
            <w:noWrap w:val="false"/>
          </w:tcPr>
          <w:p>
            <w:pPr>
              <w:pStyle w:val="873"/>
              <w:jc w:val="center"/>
              <w:spacing w:before="68" w:line="190" w:lineRule="auto"/>
              <w:rPr>
                <w:rFonts w:hint="eastAsia" w:ascii="宋体" w:hAnsi="宋体" w:cs="宋体"/>
                <w:color w:val="auto"/>
                <w:sz w:val="21"/>
                <w:szCs w:val="21"/>
                <w:highlight w:val="none"/>
              </w:rPr>
            </w:pPr>
            <w:r>
              <w:rPr>
                <w:rFonts w:hint="eastAsia" w:ascii="宋体" w:hAnsi="宋体" w:cs="宋体"/>
                <w:color w:val="auto"/>
                <w:highlight w:val="none"/>
                <w:lang w:val="en-US" w:eastAsia="zh-CN"/>
              </w:rPr>
              <w:t xml:space="preserve">㎡</w:t>
            </w:r>
            <w:r>
              <w:rPr>
                <w:color w:val="auto"/>
                <w:highlight w:val="none"/>
              </w:rPr>
            </w:r>
            <w:r/>
          </w:p>
        </w:tc>
        <w:tc>
          <w:tcPr>
            <w:tcW w:w="1413" w:type="dxa"/>
            <w:vAlign w:val="center"/>
            <w:textDirection w:val="lrTb"/>
            <w:noWrap w:val="false"/>
          </w:tcPr>
          <w:p>
            <w:pPr>
              <w:pStyle w:val="873"/>
              <w:jc w:val="center"/>
              <w:spacing w:line="0" w:lineRule="atLeas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r>
            <w:r>
              <w:rPr>
                <w:color w:val="auto"/>
                <w:highlight w:val="none"/>
              </w:rPr>
            </w:r>
            <w:r/>
          </w:p>
        </w:tc>
        <w:tc>
          <w:tcPr>
            <w:tcW w:w="1412" w:type="dxa"/>
            <w:vAlign w:val="center"/>
            <w:textDirection w:val="lrTb"/>
            <w:noWrap w:val="false"/>
          </w:tcPr>
          <w:p>
            <w:pPr>
              <w:pStyle w:val="873"/>
              <w:jc w:val="center"/>
              <w:spacing w:line="0" w:lineRule="atLeas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r>
            <w:r>
              <w:rPr>
                <w:color w:val="auto"/>
                <w:highlight w:val="none"/>
              </w:rPr>
            </w:r>
            <w:r/>
          </w:p>
        </w:tc>
        <w:tc>
          <w:tcPr>
            <w:tcW w:w="1500" w:type="dxa"/>
            <w:vAlign w:val="center"/>
            <w:textDirection w:val="lrTb"/>
            <w:noWrap w:val="false"/>
          </w:tcPr>
          <w:p>
            <w:pPr>
              <w:pStyle w:val="873"/>
              <w:jc w:val="center"/>
              <w:spacing w:line="0" w:lineRule="atLeas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r>
            <w:r>
              <w:rPr>
                <w:color w:val="auto"/>
                <w:highlight w:val="none"/>
              </w:rPr>
            </w:r>
            <w:r/>
          </w:p>
        </w:tc>
      </w:tr>
      <w:tr>
        <w:trPr>
          <w:cantSplit/>
          <w:trHeight w:val="654"/>
        </w:trPr>
        <w:tc>
          <w:tcPr>
            <w:tcW w:w="550" w:type="dxa"/>
            <w:vAlign w:val="center"/>
            <w:textDirection w:val="lrTb"/>
            <w:noWrap w:val="false"/>
          </w:tcPr>
          <w:p>
            <w:pPr>
              <w:pStyle w:val="873"/>
              <w:jc w:val="center"/>
              <w:spacing w:line="0" w:lineRule="atLeast"/>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3</w:t>
            </w:r>
            <w:r>
              <w:rPr>
                <w:color w:val="auto"/>
                <w:highlight w:val="none"/>
              </w:rPr>
            </w:r>
            <w:r/>
          </w:p>
        </w:tc>
        <w:tc>
          <w:tcPr>
            <w:tcW w:w="1325" w:type="dxa"/>
            <w:vAlign w:val="center"/>
            <w:vMerge w:val="continue"/>
            <w:textDirection w:val="lrTb"/>
            <w:noWrap w:val="false"/>
          </w:tcPr>
          <w:p>
            <w:pPr>
              <w:pStyle w:val="873"/>
              <w:jc w:val="center"/>
              <w:spacing w:line="0" w:lineRule="atLeast"/>
              <w:widowControl w:val="off"/>
              <w:rPr>
                <w:rFonts w:hint="eastAsia" w:ascii="宋体" w:hAnsi="宋体" w:cs="宋体"/>
                <w:color w:val="000000"/>
                <w:highlight w:val="none"/>
              </w:rPr>
            </w:pPr>
            <w:r>
              <w:rPr>
                <w:rFonts w:hint="eastAsia" w:ascii="宋体" w:hAnsi="宋体" w:cs="宋体"/>
                <w:color w:val="000000"/>
                <w:highlight w:val="none"/>
              </w:rPr>
            </w:r>
            <w:r/>
          </w:p>
        </w:tc>
        <w:tc>
          <w:tcPr>
            <w:tcW w:w="1325" w:type="dxa"/>
            <w:vAlign w:val="center"/>
            <w:textDirection w:val="lrTb"/>
            <w:noWrap w:val="false"/>
          </w:tcPr>
          <w:p>
            <w:pPr>
              <w:pStyle w:val="873"/>
              <w:jc w:val="center"/>
              <w:spacing w:before="68" w:line="190" w:lineRule="auto"/>
              <w:rPr>
                <w:rFonts w:hint="eastAsia" w:ascii="宋体" w:hAnsi="宋体" w:cs="宋体"/>
                <w:color w:val="auto"/>
                <w:sz w:val="21"/>
                <w:szCs w:val="21"/>
                <w:highlight w:val="none"/>
              </w:rPr>
            </w:pPr>
            <w:r>
              <w:rPr>
                <w:rFonts w:hint="eastAsia" w:ascii="宋体" w:hAnsi="宋体" w:cs="宋体"/>
                <w:color w:val="auto"/>
                <w:highlight w:val="none"/>
                <w:lang w:val="en-US" w:eastAsia="zh-CN"/>
              </w:rPr>
              <w:t xml:space="preserve">三级</w:t>
            </w:r>
            <w:r>
              <w:rPr>
                <w:color w:val="auto"/>
                <w:highlight w:val="none"/>
              </w:rPr>
            </w:r>
            <w:r/>
          </w:p>
        </w:tc>
        <w:tc>
          <w:tcPr>
            <w:tcW w:w="1463" w:type="dxa"/>
            <w:vAlign w:val="center"/>
            <w:textDirection w:val="lrTb"/>
            <w:noWrap w:val="false"/>
          </w:tcPr>
          <w:p>
            <w:pPr>
              <w:pStyle w:val="873"/>
              <w:jc w:val="center"/>
              <w:spacing w:line="0" w:lineRule="atLeas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365</w:t>
            </w:r>
            <w:r>
              <w:rPr>
                <w:color w:val="auto"/>
                <w:highlight w:val="none"/>
              </w:rPr>
            </w:r>
            <w:r/>
          </w:p>
        </w:tc>
        <w:tc>
          <w:tcPr>
            <w:tcW w:w="1237" w:type="dxa"/>
            <w:vAlign w:val="center"/>
            <w:textDirection w:val="lrTb"/>
            <w:noWrap w:val="false"/>
          </w:tcPr>
          <w:p>
            <w:pPr>
              <w:pStyle w:val="873"/>
              <w:jc w:val="center"/>
              <w:spacing w:before="68" w:line="190" w:lineRule="auto"/>
              <w:rPr>
                <w:rFonts w:hint="eastAsia" w:ascii="宋体" w:hAnsi="宋体" w:cs="宋体"/>
                <w:color w:val="auto"/>
                <w:sz w:val="21"/>
                <w:szCs w:val="21"/>
                <w:highlight w:val="none"/>
              </w:rPr>
            </w:pPr>
            <w:r>
              <w:rPr>
                <w:rFonts w:hint="eastAsia" w:ascii="宋体" w:hAnsi="宋体" w:cs="宋体"/>
                <w:color w:val="auto"/>
                <w:highlight w:val="none"/>
                <w:lang w:eastAsia="zh-CN"/>
              </w:rPr>
              <w:t xml:space="preserve">281531</w:t>
            </w:r>
            <w:r>
              <w:rPr>
                <w:color w:val="auto"/>
                <w:highlight w:val="none"/>
              </w:rPr>
            </w:r>
            <w:r/>
          </w:p>
        </w:tc>
        <w:tc>
          <w:tcPr>
            <w:tcW w:w="700" w:type="dxa"/>
            <w:vAlign w:val="center"/>
            <w:textDirection w:val="lrTb"/>
            <w:noWrap w:val="false"/>
          </w:tcPr>
          <w:p>
            <w:pPr>
              <w:pStyle w:val="873"/>
              <w:jc w:val="center"/>
              <w:spacing w:before="68" w:line="190" w:lineRule="auto"/>
              <w:rPr>
                <w:rFonts w:hint="eastAsia" w:ascii="宋体" w:hAnsi="宋体" w:cs="宋体"/>
                <w:color w:val="auto"/>
                <w:sz w:val="21"/>
                <w:szCs w:val="21"/>
                <w:highlight w:val="none"/>
              </w:rPr>
            </w:pPr>
            <w:r>
              <w:rPr>
                <w:rFonts w:hint="eastAsia" w:ascii="宋体" w:hAnsi="宋体" w:cs="宋体"/>
                <w:color w:val="auto"/>
                <w:highlight w:val="none"/>
                <w:lang w:val="en-US" w:eastAsia="zh-CN"/>
              </w:rPr>
              <w:t xml:space="preserve">㎡</w:t>
            </w:r>
            <w:r>
              <w:rPr>
                <w:color w:val="auto"/>
                <w:highlight w:val="none"/>
              </w:rPr>
            </w:r>
            <w:r/>
          </w:p>
        </w:tc>
        <w:tc>
          <w:tcPr>
            <w:tcW w:w="1413" w:type="dxa"/>
            <w:vAlign w:val="center"/>
            <w:textDirection w:val="lrTb"/>
            <w:noWrap w:val="false"/>
          </w:tcPr>
          <w:p>
            <w:pPr>
              <w:pStyle w:val="873"/>
              <w:jc w:val="center"/>
              <w:spacing w:line="0" w:lineRule="atLeas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r>
            <w:r>
              <w:rPr>
                <w:color w:val="auto"/>
                <w:highlight w:val="none"/>
              </w:rPr>
            </w:r>
            <w:r/>
          </w:p>
        </w:tc>
        <w:tc>
          <w:tcPr>
            <w:tcW w:w="1412" w:type="dxa"/>
            <w:vAlign w:val="center"/>
            <w:textDirection w:val="lrTb"/>
            <w:noWrap w:val="false"/>
          </w:tcPr>
          <w:p>
            <w:pPr>
              <w:pStyle w:val="873"/>
              <w:jc w:val="center"/>
              <w:spacing w:line="0" w:lineRule="atLeas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r>
            <w:r>
              <w:rPr>
                <w:color w:val="auto"/>
                <w:highlight w:val="none"/>
              </w:rPr>
            </w:r>
            <w:r/>
          </w:p>
        </w:tc>
        <w:tc>
          <w:tcPr>
            <w:tcW w:w="1500" w:type="dxa"/>
            <w:vAlign w:val="center"/>
            <w:textDirection w:val="lrTb"/>
            <w:noWrap w:val="false"/>
          </w:tcPr>
          <w:p>
            <w:pPr>
              <w:pStyle w:val="873"/>
              <w:jc w:val="center"/>
              <w:spacing w:line="0" w:lineRule="atLeas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r>
            <w:r>
              <w:rPr>
                <w:color w:val="auto"/>
                <w:highlight w:val="none"/>
              </w:rPr>
            </w:r>
            <w:r/>
          </w:p>
        </w:tc>
      </w:tr>
      <w:tr>
        <w:trPr>
          <w:cantSplit/>
          <w:trHeight w:val="654"/>
        </w:trPr>
        <w:tc>
          <w:tcPr>
            <w:tcW w:w="550" w:type="dxa"/>
            <w:vAlign w:val="center"/>
            <w:textDirection w:val="lrTb"/>
            <w:noWrap w:val="false"/>
          </w:tcPr>
          <w:p>
            <w:pPr>
              <w:pStyle w:val="873"/>
              <w:jc w:val="center"/>
              <w:spacing w:line="0" w:lineRule="atLeast"/>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4</w:t>
            </w:r>
            <w:r>
              <w:rPr>
                <w:color w:val="auto"/>
                <w:highlight w:val="none"/>
              </w:rPr>
            </w:r>
            <w:r/>
          </w:p>
        </w:tc>
        <w:tc>
          <w:tcPr>
            <w:tcW w:w="1325" w:type="dxa"/>
            <w:vAlign w:val="center"/>
            <w:vMerge w:val="restart"/>
            <w:textDirection w:val="lrTb"/>
            <w:noWrap w:val="false"/>
          </w:tcPr>
          <w:p>
            <w:pPr>
              <w:pStyle w:val="873"/>
              <w:jc w:val="center"/>
              <w:spacing w:line="0" w:lineRule="atLeast"/>
              <w:widowControl w:val="off"/>
              <w:rPr>
                <w:rFonts w:hint="eastAsia" w:ascii="宋体" w:hAnsi="宋体" w:eastAsia="宋体" w:cs="Times New Roman"/>
                <w:color w:val="auto"/>
                <w:sz w:val="24"/>
                <w:szCs w:val="24"/>
                <w:highlight w:val="none"/>
              </w:rPr>
            </w:pPr>
            <w:r>
              <w:rPr>
                <w:rFonts w:hint="eastAsia" w:ascii="宋体" w:hAnsi="宋体" w:cs="宋体"/>
                <w:color w:val="auto"/>
                <w:highlight w:val="none"/>
              </w:rPr>
              <w:t xml:space="preserve">行道树养护管理服务部分</w:t>
            </w:r>
            <w:r>
              <w:rPr>
                <w:color w:val="auto"/>
                <w:highlight w:val="none"/>
              </w:rPr>
            </w:r>
            <w:r/>
          </w:p>
        </w:tc>
        <w:tc>
          <w:tcPr>
            <w:tcW w:w="1325" w:type="dxa"/>
            <w:vAlign w:val="center"/>
            <w:textDirection w:val="lrTb"/>
            <w:noWrap w:val="false"/>
          </w:tcPr>
          <w:p>
            <w:pPr>
              <w:pStyle w:val="873"/>
              <w:jc w:val="center"/>
              <w:spacing w:before="68" w:line="190" w:lineRule="auto"/>
              <w:rPr>
                <w:rFonts w:hint="eastAsia" w:ascii="宋体" w:hAnsi="宋体" w:cs="宋体"/>
                <w:color w:val="auto"/>
                <w:sz w:val="21"/>
                <w:szCs w:val="21"/>
                <w:highlight w:val="none"/>
              </w:rPr>
            </w:pPr>
            <w:r>
              <w:rPr>
                <w:rFonts w:hint="eastAsia" w:ascii="宋体" w:hAnsi="宋体" w:cs="宋体"/>
                <w:color w:val="auto"/>
                <w:highlight w:val="none"/>
                <w:lang w:val="en-US" w:eastAsia="zh-CN"/>
              </w:rPr>
              <w:t xml:space="preserve">二级</w:t>
            </w:r>
            <w:r>
              <w:rPr>
                <w:color w:val="auto"/>
                <w:highlight w:val="none"/>
              </w:rPr>
            </w:r>
            <w:r/>
          </w:p>
        </w:tc>
        <w:tc>
          <w:tcPr>
            <w:tcW w:w="1463" w:type="dxa"/>
            <w:vAlign w:val="center"/>
            <w:textDirection w:val="lrTb"/>
            <w:noWrap w:val="false"/>
          </w:tcPr>
          <w:p>
            <w:pPr>
              <w:pStyle w:val="873"/>
              <w:jc w:val="center"/>
              <w:spacing w:line="0" w:lineRule="atLeas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365</w:t>
            </w:r>
            <w:r>
              <w:rPr>
                <w:color w:val="auto"/>
                <w:highlight w:val="none"/>
              </w:rPr>
            </w:r>
            <w:r/>
          </w:p>
        </w:tc>
        <w:tc>
          <w:tcPr>
            <w:tcW w:w="1237" w:type="dxa"/>
            <w:vAlign w:val="center"/>
            <w:textDirection w:val="lrTb"/>
            <w:noWrap w:val="false"/>
          </w:tcPr>
          <w:p>
            <w:pPr>
              <w:pStyle w:val="873"/>
              <w:jc w:val="center"/>
              <w:spacing w:before="68" w:line="190" w:lineRule="auto"/>
              <w:rPr>
                <w:rFonts w:hint="eastAsia" w:ascii="宋体" w:hAnsi="宋体" w:cs="宋体"/>
                <w:color w:val="auto"/>
                <w:sz w:val="21"/>
                <w:szCs w:val="21"/>
                <w:highlight w:val="none"/>
              </w:rPr>
            </w:pPr>
            <w:r>
              <w:rPr>
                <w:rFonts w:hint="eastAsia" w:ascii="宋体" w:hAnsi="宋体" w:cs="宋体"/>
                <w:color w:val="auto"/>
                <w:highlight w:val="none"/>
                <w:lang w:eastAsia="zh-CN"/>
              </w:rPr>
              <w:t xml:space="preserve">884</w:t>
            </w:r>
            <w:r>
              <w:rPr>
                <w:color w:val="auto"/>
                <w:highlight w:val="none"/>
              </w:rPr>
            </w:r>
            <w:r/>
          </w:p>
        </w:tc>
        <w:tc>
          <w:tcPr>
            <w:tcW w:w="700" w:type="dxa"/>
            <w:vAlign w:val="center"/>
            <w:textDirection w:val="lrTb"/>
            <w:noWrap w:val="false"/>
          </w:tcPr>
          <w:p>
            <w:pPr>
              <w:pStyle w:val="873"/>
              <w:jc w:val="center"/>
              <w:spacing w:before="68" w:line="19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bidi="ar-SA"/>
              </w:rPr>
              <w:t xml:space="preserve">株</w:t>
            </w:r>
            <w:r>
              <w:rPr>
                <w:color w:val="auto"/>
                <w:highlight w:val="none"/>
              </w:rPr>
            </w:r>
            <w:r/>
          </w:p>
        </w:tc>
        <w:tc>
          <w:tcPr>
            <w:tcW w:w="1413" w:type="dxa"/>
            <w:vAlign w:val="center"/>
            <w:textDirection w:val="lrTb"/>
            <w:noWrap w:val="false"/>
          </w:tcPr>
          <w:p>
            <w:pPr>
              <w:pStyle w:val="873"/>
              <w:jc w:val="center"/>
              <w:spacing w:line="0" w:lineRule="atLeas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r>
            <w:r>
              <w:rPr>
                <w:color w:val="auto"/>
                <w:highlight w:val="none"/>
              </w:rPr>
            </w:r>
            <w:r/>
          </w:p>
        </w:tc>
        <w:tc>
          <w:tcPr>
            <w:tcW w:w="1412" w:type="dxa"/>
            <w:vAlign w:val="center"/>
            <w:textDirection w:val="lrTb"/>
            <w:noWrap w:val="false"/>
          </w:tcPr>
          <w:p>
            <w:pPr>
              <w:pStyle w:val="873"/>
              <w:jc w:val="center"/>
              <w:spacing w:line="0" w:lineRule="atLeas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r>
            <w:r>
              <w:rPr>
                <w:color w:val="auto"/>
                <w:highlight w:val="none"/>
              </w:rPr>
            </w:r>
            <w:r/>
          </w:p>
        </w:tc>
        <w:tc>
          <w:tcPr>
            <w:tcW w:w="1500" w:type="dxa"/>
            <w:vAlign w:val="center"/>
            <w:textDirection w:val="lrTb"/>
            <w:noWrap w:val="false"/>
          </w:tcPr>
          <w:p>
            <w:pPr>
              <w:pStyle w:val="873"/>
              <w:jc w:val="center"/>
              <w:spacing w:line="0" w:lineRule="atLeas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r>
            <w:r>
              <w:rPr>
                <w:color w:val="auto"/>
                <w:highlight w:val="none"/>
              </w:rPr>
            </w:r>
            <w:r/>
          </w:p>
        </w:tc>
      </w:tr>
      <w:tr>
        <w:trPr>
          <w:cantSplit/>
          <w:trHeight w:val="654"/>
        </w:trPr>
        <w:tc>
          <w:tcPr>
            <w:tcW w:w="550" w:type="dxa"/>
            <w:vAlign w:val="center"/>
            <w:textDirection w:val="lrTb"/>
            <w:noWrap w:val="false"/>
          </w:tcPr>
          <w:p>
            <w:pPr>
              <w:pStyle w:val="873"/>
              <w:jc w:val="center"/>
              <w:spacing w:line="0" w:lineRule="atLeast"/>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5</w:t>
            </w:r>
            <w:r>
              <w:rPr>
                <w:color w:val="auto"/>
                <w:highlight w:val="none"/>
              </w:rPr>
            </w:r>
            <w:r/>
          </w:p>
        </w:tc>
        <w:tc>
          <w:tcPr>
            <w:tcW w:w="1325" w:type="dxa"/>
            <w:vAlign w:val="center"/>
            <w:vMerge w:val="continue"/>
            <w:textDirection w:val="lrTb"/>
            <w:noWrap w:val="false"/>
          </w:tcPr>
          <w:p>
            <w:pPr>
              <w:pStyle w:val="873"/>
              <w:jc w:val="center"/>
              <w:spacing w:line="0" w:lineRule="atLeast"/>
              <w:widowControl w:val="off"/>
              <w:rPr>
                <w:rFonts w:hint="eastAsia" w:ascii="宋体" w:hAnsi="宋体" w:cs="宋体"/>
                <w:color w:val="000000"/>
                <w:highlight w:val="none"/>
              </w:rPr>
            </w:pPr>
            <w:r>
              <w:rPr>
                <w:rFonts w:hint="eastAsia" w:ascii="宋体" w:hAnsi="宋体" w:cs="宋体"/>
                <w:color w:val="000000"/>
                <w:highlight w:val="none"/>
              </w:rPr>
            </w:r>
            <w:r/>
          </w:p>
        </w:tc>
        <w:tc>
          <w:tcPr>
            <w:tcW w:w="1325" w:type="dxa"/>
            <w:vAlign w:val="center"/>
            <w:textDirection w:val="lrTb"/>
            <w:noWrap w:val="false"/>
          </w:tcPr>
          <w:p>
            <w:pPr>
              <w:pStyle w:val="873"/>
              <w:jc w:val="center"/>
              <w:spacing w:before="68" w:line="190" w:lineRule="auto"/>
              <w:rPr>
                <w:rFonts w:hint="eastAsia" w:ascii="宋体" w:hAnsi="宋体" w:cs="宋体"/>
                <w:color w:val="auto"/>
                <w:sz w:val="21"/>
                <w:szCs w:val="21"/>
                <w:highlight w:val="none"/>
              </w:rPr>
            </w:pPr>
            <w:r>
              <w:rPr>
                <w:rFonts w:hint="eastAsia" w:ascii="宋体" w:hAnsi="宋体" w:cs="宋体"/>
                <w:color w:val="auto"/>
                <w:highlight w:val="none"/>
                <w:lang w:val="en-US" w:eastAsia="zh-CN"/>
              </w:rPr>
              <w:t xml:space="preserve">三级</w:t>
            </w:r>
            <w:r>
              <w:rPr>
                <w:color w:val="auto"/>
                <w:highlight w:val="none"/>
              </w:rPr>
            </w:r>
            <w:r/>
          </w:p>
        </w:tc>
        <w:tc>
          <w:tcPr>
            <w:tcW w:w="1463" w:type="dxa"/>
            <w:vAlign w:val="center"/>
            <w:textDirection w:val="lrTb"/>
            <w:noWrap w:val="false"/>
          </w:tcPr>
          <w:p>
            <w:pPr>
              <w:pStyle w:val="873"/>
              <w:jc w:val="center"/>
              <w:spacing w:line="0" w:lineRule="atLeas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365</w:t>
            </w:r>
            <w:r>
              <w:rPr>
                <w:color w:val="auto"/>
                <w:highlight w:val="none"/>
              </w:rPr>
            </w:r>
            <w:r/>
          </w:p>
        </w:tc>
        <w:tc>
          <w:tcPr>
            <w:tcW w:w="1237" w:type="dxa"/>
            <w:vAlign w:val="center"/>
            <w:textDirection w:val="lrTb"/>
            <w:noWrap w:val="false"/>
          </w:tcPr>
          <w:p>
            <w:pPr>
              <w:pStyle w:val="873"/>
              <w:jc w:val="center"/>
              <w:keepLines w:val="0"/>
              <w:keepNext w:val="0"/>
              <w:widowControl/>
              <w:rPr>
                <w:rFonts w:hint="eastAsia" w:ascii="宋体" w:hAnsi="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cs="宋体"/>
                <w:color w:val="auto"/>
                <w:sz w:val="21"/>
                <w:szCs w:val="21"/>
                <w:highlight w:val="none"/>
                <w:lang w:val="en-US" w:eastAsia="zh-CN"/>
              </w:rPr>
              <w:t xml:space="preserve">930</w:t>
            </w:r>
            <w:r>
              <w:rPr>
                <w:color w:val="auto"/>
                <w:highlight w:val="none"/>
              </w:rPr>
            </w:r>
            <w:r/>
          </w:p>
        </w:tc>
        <w:tc>
          <w:tcPr>
            <w:tcW w:w="700" w:type="dxa"/>
            <w:vAlign w:val="center"/>
            <w:textDirection w:val="lrTb"/>
            <w:noWrap w:val="false"/>
          </w:tcPr>
          <w:p>
            <w:pPr>
              <w:pStyle w:val="873"/>
              <w:jc w:val="center"/>
              <w:spacing w:before="68" w:line="19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bidi="ar-SA"/>
              </w:rPr>
              <w:t xml:space="preserve">株</w:t>
            </w:r>
            <w:r>
              <w:rPr>
                <w:color w:val="auto"/>
                <w:highlight w:val="none"/>
              </w:rPr>
            </w:r>
            <w:r/>
          </w:p>
        </w:tc>
        <w:tc>
          <w:tcPr>
            <w:tcW w:w="1413" w:type="dxa"/>
            <w:vAlign w:val="center"/>
            <w:textDirection w:val="lrTb"/>
            <w:noWrap w:val="false"/>
          </w:tcPr>
          <w:p>
            <w:pPr>
              <w:pStyle w:val="873"/>
              <w:jc w:val="center"/>
              <w:spacing w:line="0" w:lineRule="atLeas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r>
            <w:r>
              <w:rPr>
                <w:color w:val="auto"/>
                <w:highlight w:val="none"/>
              </w:rPr>
            </w:r>
            <w:r/>
          </w:p>
        </w:tc>
        <w:tc>
          <w:tcPr>
            <w:tcW w:w="1412" w:type="dxa"/>
            <w:vAlign w:val="center"/>
            <w:textDirection w:val="lrTb"/>
            <w:noWrap w:val="false"/>
          </w:tcPr>
          <w:p>
            <w:pPr>
              <w:pStyle w:val="873"/>
              <w:jc w:val="center"/>
              <w:spacing w:line="0" w:lineRule="atLeas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r>
            <w:r>
              <w:rPr>
                <w:color w:val="auto"/>
                <w:highlight w:val="none"/>
              </w:rPr>
            </w:r>
            <w:r/>
          </w:p>
        </w:tc>
        <w:tc>
          <w:tcPr>
            <w:tcW w:w="1500" w:type="dxa"/>
            <w:vAlign w:val="center"/>
            <w:textDirection w:val="lrTb"/>
            <w:noWrap w:val="false"/>
          </w:tcPr>
          <w:p>
            <w:pPr>
              <w:pStyle w:val="873"/>
              <w:jc w:val="center"/>
              <w:spacing w:line="0" w:lineRule="atLeas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r>
            <w:r>
              <w:rPr>
                <w:color w:val="auto"/>
                <w:highlight w:val="none"/>
              </w:rPr>
            </w:r>
            <w:r/>
          </w:p>
        </w:tc>
      </w:tr>
      <w:tr>
        <w:trPr>
          <w:cantSplit/>
          <w:trHeight w:val="654"/>
        </w:trPr>
        <w:tc>
          <w:tcPr>
            <w:tcW w:w="550" w:type="dxa"/>
            <w:vAlign w:val="center"/>
            <w:textDirection w:val="lrTb"/>
            <w:noWrap w:val="false"/>
          </w:tcPr>
          <w:p>
            <w:pPr>
              <w:pStyle w:val="873"/>
              <w:jc w:val="center"/>
              <w:spacing w:line="0" w:lineRule="atLeast"/>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6</w:t>
            </w:r>
            <w:r>
              <w:rPr>
                <w:color w:val="auto"/>
                <w:highlight w:val="none"/>
              </w:rPr>
            </w:r>
            <w:r/>
          </w:p>
        </w:tc>
        <w:tc>
          <w:tcPr>
            <w:tcW w:w="1325" w:type="dxa"/>
            <w:vAlign w:val="center"/>
            <w:textDirection w:val="lrTb"/>
            <w:noWrap w:val="false"/>
          </w:tcPr>
          <w:p>
            <w:pPr>
              <w:pStyle w:val="873"/>
              <w:jc w:val="center"/>
              <w:spacing w:line="0" w:lineRule="atLeast"/>
              <w:widowControl w:val="off"/>
              <w:rPr>
                <w:rFonts w:hint="eastAsia" w:ascii="宋体" w:hAnsi="宋体" w:cs="宋体"/>
                <w:color w:val="auto"/>
                <w:highlight w:val="none"/>
              </w:rPr>
            </w:pPr>
            <w:r>
              <w:rPr>
                <w:rFonts w:hint="eastAsia" w:ascii="宋体" w:hAnsi="宋体" w:cs="宋体"/>
                <w:color w:val="auto"/>
                <w:highlight w:val="none"/>
              </w:rPr>
              <w:t xml:space="preserve">四季草花更换及养护服务部分</w:t>
            </w:r>
            <w:r>
              <w:rPr>
                <w:color w:val="auto"/>
                <w:highlight w:val="none"/>
              </w:rPr>
            </w:r>
            <w:r/>
          </w:p>
        </w:tc>
        <w:tc>
          <w:tcPr>
            <w:tcW w:w="1325" w:type="dxa"/>
            <w:vAlign w:val="center"/>
            <w:textDirection w:val="lrTb"/>
            <w:noWrap w:val="false"/>
          </w:tcPr>
          <w:p>
            <w:pPr>
              <w:pStyle w:val="873"/>
              <w:jc w:val="center"/>
              <w:spacing w:before="68" w:line="190" w:lineRule="auto"/>
              <w:rPr>
                <w:rFonts w:hint="eastAsia" w:ascii="宋体" w:hAnsi="宋体" w:cs="宋体"/>
                <w:color w:val="auto"/>
                <w:sz w:val="21"/>
                <w:szCs w:val="21"/>
                <w:highlight w:val="none"/>
              </w:rPr>
            </w:pPr>
            <w:r>
              <w:rPr>
                <w:rFonts w:hint="eastAsia" w:ascii="宋体" w:hAnsi="宋体" w:cs="宋体"/>
                <w:color w:val="auto"/>
                <w:highlight w:val="none"/>
                <w:lang w:val="en-US" w:eastAsia="zh-CN"/>
              </w:rPr>
              <w:t xml:space="preserve">一级</w:t>
            </w:r>
            <w:r>
              <w:rPr>
                <w:color w:val="auto"/>
                <w:highlight w:val="none"/>
              </w:rPr>
            </w:r>
            <w:r/>
          </w:p>
        </w:tc>
        <w:tc>
          <w:tcPr>
            <w:tcW w:w="1463" w:type="dxa"/>
            <w:vAlign w:val="center"/>
            <w:textDirection w:val="lrTb"/>
            <w:noWrap w:val="false"/>
          </w:tcPr>
          <w:p>
            <w:pPr>
              <w:pStyle w:val="873"/>
              <w:jc w:val="center"/>
              <w:spacing w:line="0" w:lineRule="atLeas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365</w:t>
            </w:r>
            <w:r>
              <w:rPr>
                <w:color w:val="auto"/>
                <w:highlight w:val="none"/>
              </w:rPr>
            </w:r>
            <w:r/>
          </w:p>
        </w:tc>
        <w:tc>
          <w:tcPr>
            <w:tcW w:w="1237" w:type="dxa"/>
            <w:vAlign w:val="center"/>
            <w:textDirection w:val="lrTb"/>
            <w:noWrap w:val="false"/>
          </w:tcPr>
          <w:p>
            <w:pPr>
              <w:pStyle w:val="873"/>
              <w:jc w:val="center"/>
              <w:spacing w:before="68" w:line="190" w:lineRule="auto"/>
              <w:rPr>
                <w:rFonts w:hint="eastAsia" w:ascii="宋体" w:hAnsi="宋体" w:cs="宋体"/>
                <w:color w:val="auto"/>
                <w:sz w:val="21"/>
                <w:szCs w:val="21"/>
                <w:highlight w:val="none"/>
              </w:rPr>
            </w:pPr>
            <w:r>
              <w:rPr>
                <w:rFonts w:hint="eastAsia" w:ascii="宋体" w:hAnsi="宋体" w:cs="宋体"/>
                <w:color w:val="auto"/>
                <w:highlight w:val="none"/>
                <w:lang w:val="en-US" w:eastAsia="zh-CN"/>
              </w:rPr>
              <w:t xml:space="preserve">317</w:t>
            </w:r>
            <w:r>
              <w:rPr>
                <w:color w:val="auto"/>
                <w:highlight w:val="none"/>
              </w:rPr>
            </w:r>
            <w:r/>
          </w:p>
        </w:tc>
        <w:tc>
          <w:tcPr>
            <w:tcW w:w="700" w:type="dxa"/>
            <w:vAlign w:val="center"/>
            <w:textDirection w:val="lrTb"/>
            <w:noWrap w:val="false"/>
          </w:tcPr>
          <w:p>
            <w:pPr>
              <w:pStyle w:val="873"/>
              <w:jc w:val="center"/>
              <w:spacing w:before="68" w:line="190" w:lineRule="auto"/>
              <w:rPr>
                <w:rFonts w:hint="eastAsia" w:ascii="宋体" w:hAnsi="宋体" w:cs="宋体"/>
                <w:color w:val="auto"/>
                <w:sz w:val="21"/>
                <w:szCs w:val="21"/>
                <w:highlight w:val="none"/>
              </w:rPr>
            </w:pPr>
            <w:r>
              <w:rPr>
                <w:rFonts w:hint="eastAsia" w:ascii="宋体" w:hAnsi="宋体" w:cs="宋体"/>
                <w:color w:val="auto"/>
                <w:highlight w:val="none"/>
                <w:lang w:val="en-US" w:eastAsia="zh-CN"/>
              </w:rPr>
              <w:t xml:space="preserve">㎡</w:t>
            </w:r>
            <w:r>
              <w:rPr>
                <w:color w:val="auto"/>
                <w:highlight w:val="none"/>
              </w:rPr>
            </w:r>
            <w:r/>
          </w:p>
        </w:tc>
        <w:tc>
          <w:tcPr>
            <w:tcW w:w="1413" w:type="dxa"/>
            <w:vAlign w:val="center"/>
            <w:textDirection w:val="lrTb"/>
            <w:noWrap w:val="false"/>
          </w:tcPr>
          <w:p>
            <w:pPr>
              <w:pStyle w:val="873"/>
              <w:jc w:val="center"/>
              <w:spacing w:line="0" w:lineRule="atLeas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r>
            <w:r>
              <w:rPr>
                <w:color w:val="auto"/>
                <w:highlight w:val="none"/>
              </w:rPr>
            </w:r>
            <w:r/>
          </w:p>
        </w:tc>
        <w:tc>
          <w:tcPr>
            <w:tcW w:w="1412" w:type="dxa"/>
            <w:vAlign w:val="center"/>
            <w:textDirection w:val="lrTb"/>
            <w:noWrap w:val="false"/>
          </w:tcPr>
          <w:p>
            <w:pPr>
              <w:pStyle w:val="873"/>
              <w:jc w:val="center"/>
              <w:spacing w:line="0" w:lineRule="atLeas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r>
            <w:r>
              <w:rPr>
                <w:color w:val="auto"/>
                <w:highlight w:val="none"/>
              </w:rPr>
            </w:r>
            <w:r/>
          </w:p>
        </w:tc>
        <w:tc>
          <w:tcPr>
            <w:tcW w:w="1500" w:type="dxa"/>
            <w:vAlign w:val="center"/>
            <w:textDirection w:val="lrTb"/>
            <w:noWrap w:val="false"/>
          </w:tcPr>
          <w:p>
            <w:pPr>
              <w:pStyle w:val="873"/>
              <w:jc w:val="left"/>
              <w:spacing w:before="68" w:line="190" w:lineRule="auto"/>
              <w:rPr>
                <w:rFonts w:hint="eastAsia" w:ascii="宋体" w:hAnsi="宋体" w:eastAsia="宋体" w:cs="Times New Roman"/>
                <w:color w:val="auto"/>
                <w:sz w:val="24"/>
                <w:szCs w:val="24"/>
                <w:highlight w:val="none"/>
              </w:rPr>
            </w:pPr>
            <w:r>
              <w:rPr>
                <w:rFonts w:hint="eastAsia" w:ascii="宋体" w:hAnsi="宋体" w:cs="宋体"/>
                <w:color w:val="auto"/>
                <w:highlight w:val="none"/>
                <w:lang w:bidi="ar"/>
              </w:rPr>
              <w:t xml:space="preserve">此单价为更换4次及后续管养的综合费用。</w:t>
            </w:r>
            <w:r>
              <w:rPr>
                <w:color w:val="auto"/>
                <w:highlight w:val="none"/>
              </w:rPr>
            </w:r>
            <w:r/>
          </w:p>
        </w:tc>
      </w:tr>
      <w:tr>
        <w:trPr>
          <w:cantSplit/>
          <w:trHeight w:val="654"/>
        </w:trPr>
        <w:tc>
          <w:tcPr>
            <w:tcW w:w="550" w:type="dxa"/>
            <w:vAlign w:val="center"/>
            <w:textDirection w:val="lrTb"/>
            <w:noWrap w:val="false"/>
          </w:tcPr>
          <w:p>
            <w:pPr>
              <w:pStyle w:val="873"/>
              <w:jc w:val="center"/>
              <w:spacing w:line="0" w:lineRule="atLeast"/>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lang w:val="en-US" w:eastAsia="zh-CN" w:bidi="ar-SA"/>
              </w:rPr>
              <w:t xml:space="preserve">…</w:t>
            </w:r>
            <w:r>
              <w:rPr>
                <w:color w:val="auto"/>
                <w:highlight w:val="none"/>
              </w:rPr>
            </w:r>
            <w:r/>
          </w:p>
        </w:tc>
        <w:tc>
          <w:tcPr>
            <w:tcW w:w="1325" w:type="dxa"/>
            <w:vAlign w:val="center"/>
            <w:textDirection w:val="lrTb"/>
            <w:noWrap w:val="false"/>
          </w:tcPr>
          <w:p>
            <w:pPr>
              <w:pStyle w:val="873"/>
              <w:jc w:val="both"/>
              <w:spacing w:line="0" w:lineRule="atLeas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r>
            <w:r>
              <w:rPr>
                <w:color w:val="auto"/>
                <w:highlight w:val="none"/>
              </w:rPr>
            </w:r>
            <w:r/>
          </w:p>
        </w:tc>
        <w:tc>
          <w:tcPr>
            <w:gridSpan w:val="6"/>
            <w:tcW w:w="7550" w:type="dxa"/>
            <w:vAlign w:val="center"/>
            <w:textDirection w:val="lrTb"/>
            <w:noWrap w:val="false"/>
          </w:tcPr>
          <w:p>
            <w:pPr>
              <w:pStyle w:val="873"/>
              <w:jc w:val="left"/>
              <w:spacing w:line="0" w:lineRule="atLeas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投标总价（元）：</w:t>
            </w:r>
            <w:r>
              <w:rPr>
                <w:color w:val="auto"/>
                <w:highlight w:val="none"/>
              </w:rPr>
            </w:r>
            <w:r/>
          </w:p>
        </w:tc>
        <w:tc>
          <w:tcPr>
            <w:tcW w:w="1500" w:type="dxa"/>
            <w:vAlign w:val="center"/>
            <w:textDirection w:val="lrTb"/>
            <w:noWrap w:val="false"/>
          </w:tcPr>
          <w:p>
            <w:pPr>
              <w:pStyle w:val="873"/>
              <w:jc w:val="left"/>
              <w:spacing w:before="68" w:line="19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bidi="ar-SA"/>
              </w:rPr>
            </w:r>
            <w:r>
              <w:rPr>
                <w:color w:val="auto"/>
                <w:highlight w:val="none"/>
              </w:rPr>
            </w:r>
            <w:r/>
          </w:p>
        </w:tc>
      </w:tr>
      <w:tr>
        <w:trPr>
          <w:cantSplit/>
          <w:trHeight w:val="654"/>
        </w:trPr>
        <w:tc>
          <w:tcPr>
            <w:tcW w:w="550" w:type="dxa"/>
            <w:vAlign w:val="center"/>
            <w:textDirection w:val="lrTb"/>
            <w:noWrap w:val="false"/>
          </w:tcPr>
          <w:p>
            <w:pPr>
              <w:pStyle w:val="873"/>
              <w:jc w:val="both"/>
              <w:spacing w:line="0" w:lineRule="atLeas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r>
            <w:r>
              <w:rPr>
                <w:color w:val="auto"/>
                <w:highlight w:val="none"/>
              </w:rPr>
            </w:r>
            <w:r/>
          </w:p>
        </w:tc>
        <w:tc>
          <w:tcPr>
            <w:gridSpan w:val="8"/>
            <w:tcW w:w="10375" w:type="dxa"/>
            <w:vAlign w:val="center"/>
            <w:textDirection w:val="lrTb"/>
            <w:noWrap w:val="false"/>
          </w:tcPr>
          <w:p>
            <w:pPr>
              <w:pStyle w:val="873"/>
              <w:jc w:val="both"/>
              <w:spacing w:line="0" w:lineRule="atLeas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本采购包中本公司(单位)提供的符合本国产品标准的产品成本之和</w:t>
            </w:r>
            <w:r>
              <w:rPr>
                <w:rFonts w:hint="eastAsia" w:ascii="宋体" w:hAnsi="宋体" w:eastAsia="宋体" w:cs="Times New Roman"/>
                <w:color w:val="auto"/>
                <w:sz w:val="24"/>
                <w:szCs w:val="24"/>
                <w:highlight w:val="none"/>
                <w:u w:val="single"/>
                <w:lang w:val="en-US" w:eastAsia="zh-CN" w:bidi="ar-SA"/>
              </w:rPr>
              <w:t xml:space="preserve">口是 口否 </w:t>
            </w:r>
            <w:r>
              <w:rPr>
                <w:rFonts w:hint="eastAsia" w:ascii="宋体" w:hAnsi="宋体" w:eastAsia="宋体" w:cs="Times New Roman"/>
                <w:color w:val="auto"/>
                <w:sz w:val="24"/>
                <w:szCs w:val="24"/>
                <w:highlight w:val="none"/>
                <w:lang w:val="en-US" w:eastAsia="zh-CN" w:bidi="ar-SA"/>
              </w:rPr>
              <w:t xml:space="preserve">达到提供的全部产品成本之和的80%以上。</w:t>
            </w:r>
            <w:r>
              <w:rPr>
                <w:color w:val="auto"/>
                <w:highlight w:val="none"/>
              </w:rPr>
            </w:r>
            <w:r/>
          </w:p>
        </w:tc>
      </w:tr>
    </w:tbl>
    <w:p>
      <w:pPr>
        <w:pStyle w:val="936"/>
        <w:jc w:val="both"/>
        <w:spacing w:before="0" w:beforeAutospacing="0" w:after="0" w:afterAutospacing="0"/>
        <w:rPr>
          <w:color w:val="auto"/>
          <w:highlight w:val="none"/>
        </w:rPr>
      </w:pPr>
      <w:r>
        <w:rPr>
          <w:color w:val="auto"/>
          <w:highlight w:val="none"/>
        </w:rPr>
      </w:r>
      <w:r>
        <w:rPr>
          <w:color w:val="auto"/>
          <w:highlight w:val="none"/>
        </w:rPr>
      </w:r>
      <w:r/>
    </w:p>
    <w:p>
      <w:pPr>
        <w:pStyle w:val="873"/>
        <w:ind w:right="18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投标人名称：（加盖电子公章）</w:t>
      </w:r>
      <w:r>
        <w:rPr>
          <w:color w:val="auto"/>
          <w:highlight w:val="none"/>
        </w:rPr>
      </w:r>
      <w:r/>
    </w:p>
    <w:p>
      <w:pPr>
        <w:pStyle w:val="936"/>
        <w:jc w:val="both"/>
        <w:spacing w:before="0" w:beforeAutospacing="0" w:after="0" w:afterAutospacing="0" w:line="360" w:lineRule="auto"/>
        <w:rPr>
          <w:color w:val="auto"/>
          <w:highlight w:val="none"/>
        </w:rPr>
      </w:pPr>
      <w:r>
        <w:rPr>
          <w:color w:val="auto"/>
          <w:highlight w:val="none"/>
        </w:rPr>
        <w:t xml:space="preserve">备注： </w:t>
      </w:r>
      <w:r>
        <w:rPr>
          <w:color w:val="auto"/>
          <w:highlight w:val="none"/>
        </w:rPr>
      </w:r>
      <w:r/>
    </w:p>
    <w:p>
      <w:pPr>
        <w:pStyle w:val="936"/>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1.“投标总报价”应包括为完成整个项目所产生的所有费用，招标文件另有规定的除外。</w:t>
      </w:r>
      <w:r>
        <w:rPr>
          <w:color w:val="auto"/>
          <w:highlight w:val="none"/>
        </w:rPr>
      </w:r>
      <w:r/>
    </w:p>
    <w:p>
      <w:pPr>
        <w:pStyle w:val="936"/>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2.《投标分项报价表》中“投标总价”应当与《开标一览表》中“投标总报价”一致。</w:t>
      </w:r>
      <w:r>
        <w:rPr>
          <w:color w:val="auto"/>
          <w:highlight w:val="none"/>
        </w:rPr>
      </w:r>
      <w:r/>
    </w:p>
    <w:p>
      <w:pPr>
        <w:pStyle w:val="936"/>
        <w:ind w:firstLine="480"/>
        <w:jc w:val="both"/>
        <w:spacing w:before="0" w:beforeAutospacing="0" w:after="0" w:afterAutospacing="0" w:line="360" w:lineRule="auto"/>
        <w:rPr>
          <w:color w:val="auto"/>
          <w:highlight w:val="none"/>
        </w:rPr>
      </w:pPr>
      <w:r>
        <w:rPr>
          <w:rFonts w:hint="eastAsia"/>
          <w:color w:val="auto"/>
          <w:highlight w:val="none"/>
        </w:rPr>
        <w:t xml:space="preserve">3.《投标分项报价表》中的分项名称须与“第四章-项目清单”中的名称一一对应，如有缺项、漏项，视为无效投标。“项目清单”中分项仅为一项的，此表无需提供。</w:t>
      </w:r>
      <w:r>
        <w:rPr>
          <w:color w:val="auto"/>
          <w:highlight w:val="none"/>
        </w:rPr>
      </w:r>
      <w:r/>
    </w:p>
    <w:p>
      <w:pPr>
        <w:pStyle w:val="936"/>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4.行数不够，可自行添加。</w:t>
      </w:r>
      <w:r>
        <w:rPr>
          <w:color w:val="auto"/>
          <w:highlight w:val="none"/>
        </w:rPr>
      </w:r>
      <w:r/>
    </w:p>
    <w:p>
      <w:pPr>
        <w:pStyle w:val="936"/>
        <w:ind w:left="0" w:right="0" w:firstLine="482"/>
        <w:jc w:val="both"/>
        <w:keepLines w:val="0"/>
        <w:keepNext w:val="0"/>
        <w:spacing w:before="0" w:beforeAutospacing="0" w:after="0" w:afterAutospacing="0" w:line="360" w:lineRule="auto"/>
        <w:shd w:val="clear" w:color="auto" w:fill="auto"/>
        <w:widowControl/>
        <w:rPr>
          <w:rFonts w:hint="eastAsia" w:ascii="宋体" w:hAnsi="宋体" w:eastAsia="宋体" w:cs="宋体"/>
          <w:b/>
          <w:bCs/>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auto"/>
          <w:vertAlign w:val="baseline"/>
          <w:lang w:val="en-US" w:eastAsia="zh-CN"/>
        </w:rPr>
        <w:t xml:space="preserve">5.当采购项目或者采购包中含有多种产品，供应商未对提供的符合本国产品标准的产品成本之和占全部产品成本之和的比例达到80%以上作出承诺的，将不享受本国产品价格评审优惠。</w:t>
      </w:r>
      <w:r>
        <w:rPr>
          <w:color w:val="auto"/>
          <w:highlight w:val="none"/>
        </w:rPr>
      </w:r>
      <w:r/>
    </w:p>
    <w:p>
      <w:pPr>
        <w:pStyle w:val="873"/>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br w:type="page" w:clear="all"/>
      </w:r>
      <w:r>
        <w:rPr>
          <w:rFonts w:hint="eastAsia" w:ascii="黑体" w:hAnsi="黑体" w:eastAsia="黑体"/>
          <w:color w:val="auto"/>
          <w:sz w:val="32"/>
          <w:szCs w:val="32"/>
          <w:highlight w:val="none"/>
        </w:rPr>
        <w:t xml:space="preserve">七、</w:t>
      </w:r>
      <w:bookmarkEnd w:id="42"/>
      <w:r>
        <w:rPr>
          <w:color w:val="auto"/>
          <w:highlight w:val="none"/>
        </w:rPr>
      </w:r>
      <w:bookmarkEnd w:id="43"/>
      <w:r>
        <w:rPr>
          <w:color w:val="auto"/>
          <w:highlight w:val="none"/>
        </w:rPr>
      </w:r>
      <w:bookmarkEnd w:id="202"/>
      <w:r>
        <w:rPr>
          <w:rFonts w:hint="eastAsia" w:ascii="黑体" w:hAnsi="黑体" w:eastAsia="黑体"/>
          <w:color w:val="auto"/>
          <w:sz w:val="32"/>
          <w:szCs w:val="32"/>
          <w:highlight w:val="none"/>
        </w:rPr>
        <w:t xml:space="preserve">技术要求响应及偏离表</w:t>
      </w:r>
      <w:r>
        <w:rPr>
          <w:color w:val="auto"/>
          <w:highlight w:val="none"/>
        </w:rPr>
      </w:r>
      <w:r/>
    </w:p>
    <w:p>
      <w:pPr>
        <w:pStyle w:val="873"/>
        <w:jc w:val="center"/>
        <w:spacing w:line="360" w:lineRule="auto"/>
        <w:rPr>
          <w:rFonts w:hint="eastAsia" w:ascii="方正小标宋简体" w:hAnsi="方正小标宋简体" w:eastAsia="方正小标宋简体" w:cs="方正小标宋简体"/>
          <w:color w:val="auto"/>
          <w:sz w:val="32"/>
          <w:szCs w:val="32"/>
          <w:highlight w:val="none"/>
        </w:rPr>
        <w:outlineLvl w:val="2"/>
      </w:pPr>
      <w:r>
        <w:rPr>
          <w:rFonts w:hint="eastAsia" w:ascii="方正小标宋简体" w:hAnsi="方正小标宋简体" w:eastAsia="方正小标宋简体" w:cs="方正小标宋简体"/>
          <w:color w:val="auto"/>
          <w:sz w:val="32"/>
          <w:szCs w:val="32"/>
          <w:highlight w:val="none"/>
        </w:rPr>
        <w:t xml:space="preserve">技术要求响应及偏离表</w:t>
      </w:r>
      <w:r>
        <w:rPr>
          <w:color w:val="auto"/>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873"/>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rPr>
                <w:color w:val="auto"/>
                <w:highlight w:val="none"/>
              </w:rPr>
            </w:r>
            <w:r/>
          </w:p>
        </w:tc>
        <w:tc>
          <w:tcPr>
            <w:tcW w:w="2925" w:type="dxa"/>
            <w:vAlign w:val="center"/>
            <w:textDirection w:val="lrTb"/>
            <w:noWrap w:val="false"/>
          </w:tcPr>
          <w:p>
            <w:pPr>
              <w:pStyle w:val="873"/>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招标文件要求</w:t>
            </w:r>
            <w:r>
              <w:rPr>
                <w:color w:val="auto"/>
                <w:highlight w:val="none"/>
              </w:rPr>
            </w:r>
            <w:r/>
          </w:p>
        </w:tc>
        <w:tc>
          <w:tcPr>
            <w:tcW w:w="2832" w:type="dxa"/>
            <w:vAlign w:val="center"/>
            <w:textDirection w:val="lrTb"/>
            <w:noWrap w:val="false"/>
          </w:tcPr>
          <w:p>
            <w:pPr>
              <w:pStyle w:val="873"/>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rPr>
                <w:color w:val="auto"/>
                <w:highlight w:val="none"/>
              </w:rPr>
            </w:r>
            <w:r/>
          </w:p>
        </w:tc>
        <w:tc>
          <w:tcPr>
            <w:tcW w:w="3346" w:type="dxa"/>
            <w:vAlign w:val="center"/>
            <w:textDirection w:val="lrTb"/>
            <w:noWrap w:val="false"/>
          </w:tcPr>
          <w:p>
            <w:pPr>
              <w:pStyle w:val="873"/>
              <w:jc w:val="center"/>
              <w:rPr>
                <w:rFonts w:hint="eastAsia" w:ascii="宋体" w:hAnsi="宋体"/>
                <w:color w:val="auto"/>
                <w:sz w:val="24"/>
                <w:szCs w:val="24"/>
                <w:highlight w:val="none"/>
              </w:rPr>
            </w:pPr>
            <w:r>
              <w:rPr>
                <w:rFonts w:hint="eastAsia" w:cs="宋体"/>
                <w:color w:val="auto"/>
                <w:sz w:val="24"/>
                <w:szCs w:val="24"/>
                <w:highlight w:val="none"/>
              </w:rPr>
              <w:t xml:space="preserve">正偏离、无偏离或负偏离</w:t>
            </w:r>
            <w:r>
              <w:rPr>
                <w:color w:val="auto"/>
                <w:highlight w:val="none"/>
              </w:rPr>
            </w:r>
            <w:r/>
          </w:p>
        </w:tc>
      </w:tr>
      <w:tr>
        <w:trPr>
          <w:cantSplit/>
          <w:trHeight w:val="640"/>
        </w:trPr>
        <w:tc>
          <w:tcPr>
            <w:tcW w:w="748" w:type="dxa"/>
            <w:vAlign w:val="top"/>
            <w:textDirection w:val="lrTb"/>
            <w:noWrap w:val="false"/>
          </w:tcPr>
          <w:p>
            <w:pPr>
              <w:pStyle w:val="873"/>
              <w:jc w:val="center"/>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c>
          <w:tcPr>
            <w:tcW w:w="2925" w:type="dxa"/>
            <w:vAlign w:val="top"/>
            <w:textDirection w:val="lrTb"/>
            <w:noWrap w:val="false"/>
          </w:tcPr>
          <w:p>
            <w:pPr>
              <w:pStyle w:val="873"/>
              <w:jc w:val="center"/>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c>
          <w:tcPr>
            <w:tcW w:w="2832" w:type="dxa"/>
            <w:vAlign w:val="top"/>
            <w:textDirection w:val="lrTb"/>
            <w:noWrap w:val="false"/>
          </w:tcPr>
          <w:p>
            <w:pPr>
              <w:pStyle w:val="873"/>
              <w:jc w:val="center"/>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c>
          <w:tcPr>
            <w:tcW w:w="3346" w:type="dxa"/>
            <w:vAlign w:val="top"/>
            <w:textDirection w:val="lrTb"/>
            <w:noWrap w:val="false"/>
          </w:tcPr>
          <w:p>
            <w:pPr>
              <w:pStyle w:val="873"/>
              <w:jc w:val="center"/>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r>
      <w:tr>
        <w:trPr>
          <w:cantSplit/>
          <w:trHeight w:val="640"/>
        </w:trPr>
        <w:tc>
          <w:tcPr>
            <w:tcW w:w="748" w:type="dxa"/>
            <w:vAlign w:val="top"/>
            <w:textDirection w:val="lrTb"/>
            <w:noWrap w:val="false"/>
          </w:tcPr>
          <w:p>
            <w:pPr>
              <w:pStyle w:val="873"/>
              <w:jc w:val="center"/>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c>
          <w:tcPr>
            <w:tcW w:w="2925" w:type="dxa"/>
            <w:vAlign w:val="top"/>
            <w:textDirection w:val="lrTb"/>
            <w:noWrap w:val="false"/>
          </w:tcPr>
          <w:p>
            <w:pPr>
              <w:pStyle w:val="873"/>
              <w:jc w:val="center"/>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c>
          <w:tcPr>
            <w:tcW w:w="2832" w:type="dxa"/>
            <w:vAlign w:val="top"/>
            <w:textDirection w:val="lrTb"/>
            <w:noWrap w:val="false"/>
          </w:tcPr>
          <w:p>
            <w:pPr>
              <w:pStyle w:val="873"/>
              <w:jc w:val="center"/>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c>
          <w:tcPr>
            <w:tcW w:w="3346" w:type="dxa"/>
            <w:vAlign w:val="top"/>
            <w:textDirection w:val="lrTb"/>
            <w:noWrap w:val="false"/>
          </w:tcPr>
          <w:p>
            <w:pPr>
              <w:pStyle w:val="873"/>
              <w:jc w:val="center"/>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r>
      <w:tr>
        <w:trPr>
          <w:cantSplit/>
          <w:trHeight w:val="640"/>
        </w:trPr>
        <w:tc>
          <w:tcPr>
            <w:tcW w:w="748" w:type="dxa"/>
            <w:vAlign w:val="top"/>
            <w:textDirection w:val="lrTb"/>
            <w:noWrap w:val="false"/>
          </w:tcPr>
          <w:p>
            <w:pPr>
              <w:pStyle w:val="873"/>
              <w:jc w:val="center"/>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c>
          <w:tcPr>
            <w:tcW w:w="2925" w:type="dxa"/>
            <w:vAlign w:val="top"/>
            <w:textDirection w:val="lrTb"/>
            <w:noWrap w:val="false"/>
          </w:tcPr>
          <w:p>
            <w:pPr>
              <w:pStyle w:val="873"/>
              <w:jc w:val="center"/>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c>
          <w:tcPr>
            <w:tcW w:w="2832" w:type="dxa"/>
            <w:vAlign w:val="top"/>
            <w:textDirection w:val="lrTb"/>
            <w:noWrap w:val="false"/>
          </w:tcPr>
          <w:p>
            <w:pPr>
              <w:pStyle w:val="873"/>
              <w:jc w:val="center"/>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c>
          <w:tcPr>
            <w:tcW w:w="3346" w:type="dxa"/>
            <w:vAlign w:val="top"/>
            <w:textDirection w:val="lrTb"/>
            <w:noWrap w:val="false"/>
          </w:tcPr>
          <w:p>
            <w:pPr>
              <w:pStyle w:val="873"/>
              <w:jc w:val="center"/>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r>
      <w:tr>
        <w:trPr>
          <w:cantSplit/>
          <w:trHeight w:val="640"/>
        </w:trPr>
        <w:tc>
          <w:tcPr>
            <w:tcW w:w="748" w:type="dxa"/>
            <w:vAlign w:val="top"/>
            <w:textDirection w:val="lrTb"/>
            <w:noWrap w:val="false"/>
          </w:tcPr>
          <w:p>
            <w:pPr>
              <w:pStyle w:val="873"/>
              <w:jc w:val="center"/>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c>
          <w:tcPr>
            <w:tcW w:w="2925" w:type="dxa"/>
            <w:vAlign w:val="top"/>
            <w:textDirection w:val="lrTb"/>
            <w:noWrap w:val="false"/>
          </w:tcPr>
          <w:p>
            <w:pPr>
              <w:pStyle w:val="873"/>
              <w:jc w:val="center"/>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c>
          <w:tcPr>
            <w:tcW w:w="2832" w:type="dxa"/>
            <w:vAlign w:val="top"/>
            <w:textDirection w:val="lrTb"/>
            <w:noWrap w:val="false"/>
          </w:tcPr>
          <w:p>
            <w:pPr>
              <w:pStyle w:val="873"/>
              <w:jc w:val="center"/>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c>
          <w:tcPr>
            <w:tcW w:w="3346" w:type="dxa"/>
            <w:vAlign w:val="top"/>
            <w:textDirection w:val="lrTb"/>
            <w:noWrap w:val="false"/>
          </w:tcPr>
          <w:p>
            <w:pPr>
              <w:pStyle w:val="873"/>
              <w:jc w:val="center"/>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r>
      <w:tr>
        <w:trPr>
          <w:cantSplit/>
          <w:trHeight w:val="640"/>
        </w:trPr>
        <w:tc>
          <w:tcPr>
            <w:tcW w:w="748" w:type="dxa"/>
            <w:vAlign w:val="top"/>
            <w:textDirection w:val="lrTb"/>
            <w:noWrap w:val="false"/>
          </w:tcPr>
          <w:p>
            <w:pPr>
              <w:pStyle w:val="873"/>
              <w:jc w:val="center"/>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c>
          <w:tcPr>
            <w:tcW w:w="2925" w:type="dxa"/>
            <w:vAlign w:val="top"/>
            <w:textDirection w:val="lrTb"/>
            <w:noWrap w:val="false"/>
          </w:tcPr>
          <w:p>
            <w:pPr>
              <w:pStyle w:val="873"/>
              <w:jc w:val="center"/>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c>
          <w:tcPr>
            <w:tcW w:w="2832" w:type="dxa"/>
            <w:vAlign w:val="top"/>
            <w:textDirection w:val="lrTb"/>
            <w:noWrap w:val="false"/>
          </w:tcPr>
          <w:p>
            <w:pPr>
              <w:pStyle w:val="873"/>
              <w:jc w:val="center"/>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c>
          <w:tcPr>
            <w:tcW w:w="3346" w:type="dxa"/>
            <w:vAlign w:val="top"/>
            <w:textDirection w:val="lrTb"/>
            <w:noWrap w:val="false"/>
          </w:tcPr>
          <w:p>
            <w:pPr>
              <w:pStyle w:val="873"/>
              <w:jc w:val="center"/>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r>
      <w:tr>
        <w:trPr>
          <w:cantSplit/>
          <w:trHeight w:val="640"/>
        </w:trPr>
        <w:tc>
          <w:tcPr>
            <w:tcW w:w="748" w:type="dxa"/>
            <w:vAlign w:val="top"/>
            <w:textDirection w:val="lrTb"/>
            <w:noWrap w:val="false"/>
          </w:tcPr>
          <w:p>
            <w:pPr>
              <w:pStyle w:val="873"/>
              <w:jc w:val="center"/>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c>
          <w:tcPr>
            <w:tcW w:w="2925" w:type="dxa"/>
            <w:vAlign w:val="top"/>
            <w:textDirection w:val="lrTb"/>
            <w:noWrap w:val="false"/>
          </w:tcPr>
          <w:p>
            <w:pPr>
              <w:pStyle w:val="873"/>
              <w:jc w:val="center"/>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c>
          <w:tcPr>
            <w:tcW w:w="2832" w:type="dxa"/>
            <w:vAlign w:val="top"/>
            <w:textDirection w:val="lrTb"/>
            <w:noWrap w:val="false"/>
          </w:tcPr>
          <w:p>
            <w:pPr>
              <w:pStyle w:val="873"/>
              <w:jc w:val="center"/>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c>
          <w:tcPr>
            <w:tcW w:w="3346" w:type="dxa"/>
            <w:vAlign w:val="top"/>
            <w:textDirection w:val="lrTb"/>
            <w:noWrap w:val="false"/>
          </w:tcPr>
          <w:p>
            <w:pPr>
              <w:pStyle w:val="873"/>
              <w:jc w:val="center"/>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r>
      <w:tr>
        <w:trPr>
          <w:cantSplit/>
          <w:trHeight w:val="640"/>
        </w:trPr>
        <w:tc>
          <w:tcPr>
            <w:tcW w:w="748" w:type="dxa"/>
            <w:vAlign w:val="top"/>
            <w:textDirection w:val="lrTb"/>
            <w:noWrap w:val="false"/>
          </w:tcPr>
          <w:p>
            <w:pPr>
              <w:pStyle w:val="873"/>
              <w:jc w:val="center"/>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c>
          <w:tcPr>
            <w:tcW w:w="2925" w:type="dxa"/>
            <w:vAlign w:val="top"/>
            <w:textDirection w:val="lrTb"/>
            <w:noWrap w:val="false"/>
          </w:tcPr>
          <w:p>
            <w:pPr>
              <w:pStyle w:val="873"/>
              <w:jc w:val="center"/>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c>
          <w:tcPr>
            <w:tcW w:w="2832" w:type="dxa"/>
            <w:vAlign w:val="top"/>
            <w:textDirection w:val="lrTb"/>
            <w:noWrap w:val="false"/>
          </w:tcPr>
          <w:p>
            <w:pPr>
              <w:pStyle w:val="873"/>
              <w:jc w:val="center"/>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c>
          <w:tcPr>
            <w:tcW w:w="3346" w:type="dxa"/>
            <w:vAlign w:val="top"/>
            <w:textDirection w:val="lrTb"/>
            <w:noWrap w:val="false"/>
          </w:tcPr>
          <w:p>
            <w:pPr>
              <w:pStyle w:val="873"/>
              <w:jc w:val="center"/>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r>
      <w:tr>
        <w:trPr>
          <w:cantSplit/>
          <w:trHeight w:val="640"/>
        </w:trPr>
        <w:tc>
          <w:tcPr>
            <w:tcW w:w="748" w:type="dxa"/>
            <w:vAlign w:val="top"/>
            <w:textDirection w:val="lrTb"/>
            <w:noWrap w:val="false"/>
          </w:tcPr>
          <w:p>
            <w:pPr>
              <w:pStyle w:val="873"/>
              <w:jc w:val="center"/>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c>
          <w:tcPr>
            <w:tcW w:w="2925" w:type="dxa"/>
            <w:vAlign w:val="top"/>
            <w:textDirection w:val="lrTb"/>
            <w:noWrap w:val="false"/>
          </w:tcPr>
          <w:p>
            <w:pPr>
              <w:pStyle w:val="873"/>
              <w:jc w:val="center"/>
              <w:rPr>
                <w:color w:val="auto"/>
                <w:highlight w:val="none"/>
              </w:rPr>
            </w:pPr>
            <w:r>
              <w:rPr>
                <w:color w:val="auto"/>
                <w:highlight w:val="none"/>
              </w:rPr>
            </w:r>
            <w:r>
              <w:rPr>
                <w:color w:val="auto"/>
                <w:highlight w:val="none"/>
              </w:rPr>
            </w:r>
            <w:r/>
          </w:p>
          <w:p>
            <w:pPr>
              <w:pStyle w:val="942"/>
              <w:rPr>
                <w:rFonts w:hint="eastAsia"/>
                <w:color w:val="auto"/>
                <w:highlight w:val="none"/>
              </w:rPr>
            </w:pPr>
            <w:r>
              <w:rPr>
                <w:rFonts w:hint="eastAsia"/>
                <w:color w:val="auto"/>
                <w:highlight w:val="none"/>
              </w:rPr>
            </w:r>
            <w:r>
              <w:rPr>
                <w:color w:val="auto"/>
                <w:highlight w:val="none"/>
              </w:rPr>
            </w:r>
            <w:r/>
          </w:p>
        </w:tc>
        <w:tc>
          <w:tcPr>
            <w:tcW w:w="2832" w:type="dxa"/>
            <w:vAlign w:val="top"/>
            <w:textDirection w:val="lrTb"/>
            <w:noWrap w:val="false"/>
          </w:tcPr>
          <w:p>
            <w:pPr>
              <w:pStyle w:val="873"/>
              <w:jc w:val="center"/>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c>
          <w:tcPr>
            <w:tcW w:w="3346" w:type="dxa"/>
            <w:vAlign w:val="top"/>
            <w:textDirection w:val="lrTb"/>
            <w:noWrap w:val="false"/>
          </w:tcPr>
          <w:p>
            <w:pPr>
              <w:pStyle w:val="873"/>
              <w:jc w:val="center"/>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r>
    </w:tbl>
    <w:p>
      <w:pPr>
        <w:pStyle w:val="936"/>
        <w:jc w:val="both"/>
        <w:spacing w:before="0" w:beforeAutospacing="0" w:after="0" w:afterAutospacing="0"/>
        <w:rPr>
          <w:color w:val="auto"/>
          <w:highlight w:val="none"/>
        </w:rPr>
      </w:pPr>
      <w:r>
        <w:rPr>
          <w:color w:val="auto"/>
          <w:highlight w:val="none"/>
        </w:rPr>
      </w:r>
      <w:r>
        <w:rPr>
          <w:color w:val="auto"/>
          <w:highlight w:val="none"/>
        </w:rPr>
      </w:r>
      <w:r/>
    </w:p>
    <w:p>
      <w:pPr>
        <w:pStyle w:val="873"/>
        <w:ind w:right="18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投标人名称：（加盖电子公章）</w:t>
      </w:r>
      <w:r>
        <w:rPr>
          <w:color w:val="auto"/>
          <w:highlight w:val="none"/>
        </w:rPr>
      </w:r>
      <w:r/>
    </w:p>
    <w:p>
      <w:pPr>
        <w:pStyle w:val="873"/>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p>
      <w:pPr>
        <w:pStyle w:val="936"/>
        <w:ind w:firstLine="480"/>
        <w:jc w:val="both"/>
        <w:spacing w:before="0" w:beforeAutospacing="0" w:after="0" w:afterAutospacing="0" w:line="360" w:lineRule="auto"/>
        <w:rPr>
          <w:color w:val="auto"/>
          <w:highlight w:val="none"/>
        </w:rPr>
      </w:pPr>
      <w:r>
        <w:rPr>
          <w:color w:val="auto"/>
          <w:highlight w:val="none"/>
        </w:rPr>
        <w:t xml:space="preserve">备注： </w:t>
      </w:r>
      <w:r>
        <w:rPr>
          <w:color w:val="auto"/>
          <w:highlight w:val="none"/>
        </w:rPr>
      </w:r>
      <w:r/>
    </w:p>
    <w:p>
      <w:pPr>
        <w:pStyle w:val="936"/>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1.供应商须对招标文件技术要求中的实质性要求（斜体下划线内容或打“★”内容）及其他要求做出明确响应，否则视为无效投标。</w:t>
      </w:r>
      <w:r>
        <w:rPr>
          <w:color w:val="auto"/>
          <w:highlight w:val="none"/>
        </w:rPr>
      </w:r>
      <w:r/>
    </w:p>
    <w:p>
      <w:pPr>
        <w:pStyle w:val="936"/>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color w:val="auto"/>
          <w:highlight w:val="none"/>
        </w:rPr>
      </w:r>
      <w:r/>
    </w:p>
    <w:p>
      <w:pPr>
        <w:pStyle w:val="936"/>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3.行数不够，可自行添加。</w:t>
      </w:r>
      <w:r>
        <w:rPr>
          <w:color w:val="auto"/>
          <w:highlight w:val="none"/>
        </w:rPr>
      </w:r>
      <w:r/>
    </w:p>
    <w:p>
      <w:pPr>
        <w:rPr>
          <w:rFonts w:hint="eastAsia" w:ascii="黑体" w:hAnsi="黑体" w:eastAsia="黑体"/>
          <w:color w:val="auto"/>
          <w:sz w:val="32"/>
          <w:szCs w:val="32"/>
          <w:highlight w:val="none"/>
        </w:rPr>
      </w:pPr>
      <w:r>
        <w:rPr>
          <w:rFonts w:hint="eastAsia" w:ascii="黑体" w:hAnsi="黑体" w:eastAsia="黑体"/>
          <w:iCs/>
          <w:color w:val="auto"/>
          <w:sz w:val="32"/>
          <w:szCs w:val="32"/>
          <w:highlight w:val="none"/>
        </w:rPr>
      </w:r>
      <w:r>
        <w:rPr>
          <w:rFonts w:hint="eastAsia" w:ascii="黑体" w:hAnsi="黑体" w:eastAsia="黑体"/>
          <w:iCs/>
          <w:color w:val="auto"/>
          <w:sz w:val="32"/>
          <w:szCs w:val="32"/>
          <w:highlight w:val="none"/>
        </w:rPr>
      </w:r>
    </w:p>
    <w:p>
      <w:pPr>
        <w:rPr>
          <w:rFonts w:hint="eastAsia" w:ascii="黑体" w:hAnsi="黑体" w:eastAsia="黑体"/>
          <w:color w:val="auto"/>
          <w:sz w:val="32"/>
          <w:szCs w:val="32"/>
          <w:highlight w:val="none"/>
        </w:rPr>
      </w:pPr>
      <w:r>
        <w:rPr>
          <w:rFonts w:hint="eastAsia" w:ascii="黑体" w:hAnsi="黑体" w:eastAsia="黑体"/>
          <w:iCs/>
          <w:color w:val="auto"/>
          <w:sz w:val="32"/>
          <w:szCs w:val="32"/>
          <w:highlight w:val="none"/>
        </w:rPr>
      </w:r>
      <w:r>
        <w:rPr>
          <w:rFonts w:hint="eastAsia" w:ascii="黑体" w:hAnsi="黑体" w:eastAsia="黑体"/>
          <w:iCs/>
          <w:color w:val="auto"/>
          <w:sz w:val="32"/>
          <w:szCs w:val="32"/>
          <w:highlight w:val="none"/>
        </w:rPr>
      </w:r>
    </w:p>
    <w:p>
      <w:pPr>
        <w:rPr>
          <w:rFonts w:hint="eastAsia" w:ascii="黑体" w:hAnsi="黑体" w:eastAsia="黑体"/>
          <w:color w:val="auto"/>
          <w:sz w:val="32"/>
          <w:szCs w:val="32"/>
          <w:highlight w:val="none"/>
        </w:rPr>
      </w:pPr>
      <w:r>
        <w:rPr>
          <w:rFonts w:hint="eastAsia" w:ascii="黑体" w:hAnsi="黑体" w:eastAsia="黑体"/>
          <w:iCs/>
          <w:color w:val="auto"/>
          <w:sz w:val="32"/>
          <w:szCs w:val="32"/>
          <w:highlight w:val="none"/>
        </w:rPr>
      </w:r>
      <w:r>
        <w:rPr>
          <w:rFonts w:hint="eastAsia" w:ascii="黑体" w:hAnsi="黑体" w:eastAsia="黑体"/>
          <w:iCs/>
          <w:color w:val="auto"/>
          <w:sz w:val="32"/>
          <w:szCs w:val="32"/>
          <w:highlight w:val="none"/>
        </w:rPr>
      </w:r>
    </w:p>
    <w:p>
      <w:pPr>
        <w:pStyle w:val="873"/>
        <w:rPr>
          <w:rFonts w:hint="eastAsia" w:ascii="黑体" w:hAnsi="黑体" w:eastAsia="黑体"/>
          <w:iCs/>
          <w:color w:val="auto"/>
          <w:sz w:val="32"/>
          <w:szCs w:val="32"/>
          <w:highlight w:val="none"/>
        </w:rPr>
      </w:pPr>
      <w:r>
        <w:rPr>
          <w:rFonts w:hint="eastAsia" w:ascii="黑体" w:hAnsi="黑体" w:eastAsia="黑体"/>
          <w:iCs/>
          <w:color w:val="auto"/>
          <w:sz w:val="32"/>
          <w:szCs w:val="32"/>
          <w:highlight w:val="none"/>
        </w:rPr>
      </w:r>
      <w:r>
        <w:rPr>
          <w:color w:val="auto"/>
          <w:highlight w:val="none"/>
        </w:rPr>
      </w:r>
      <w:r/>
    </w:p>
    <w:p>
      <w:pPr>
        <w:pStyle w:val="873"/>
        <w:rPr>
          <w:rFonts w:hint="eastAsia" w:ascii="黑体" w:hAnsi="黑体" w:eastAsia="黑体"/>
          <w:iCs/>
          <w:color w:val="auto"/>
          <w:sz w:val="32"/>
          <w:szCs w:val="32"/>
          <w:highlight w:val="none"/>
        </w:rPr>
      </w:pPr>
      <w:r>
        <w:rPr>
          <w:rFonts w:hint="eastAsia" w:ascii="黑体" w:hAnsi="黑体" w:eastAsia="黑体"/>
          <w:iCs/>
          <w:color w:val="auto"/>
          <w:sz w:val="32"/>
          <w:szCs w:val="32"/>
          <w:highlight w:val="none"/>
        </w:rPr>
        <w:t xml:space="preserve">八、商务要求响应及偏离表</w:t>
      </w:r>
      <w:r>
        <w:rPr>
          <w:color w:val="auto"/>
          <w:highlight w:val="none"/>
        </w:rPr>
      </w:r>
      <w:r/>
    </w:p>
    <w:p>
      <w:pPr>
        <w:pStyle w:val="873"/>
        <w:jc w:val="center"/>
        <w:spacing w:line="360" w:lineRule="auto"/>
        <w:rPr>
          <w:rFonts w:hint="eastAsia" w:ascii="方正小标宋简体" w:hAnsi="方正小标宋简体" w:eastAsia="方正小标宋简体" w:cs="方正小标宋简体"/>
          <w:color w:val="auto"/>
          <w:sz w:val="32"/>
          <w:szCs w:val="32"/>
          <w:highlight w:val="none"/>
        </w:rPr>
        <w:outlineLvl w:val="2"/>
      </w:pPr>
      <w:r>
        <w:rPr>
          <w:rFonts w:hint="eastAsia" w:ascii="方正小标宋简体" w:hAnsi="方正小标宋简体" w:eastAsia="方正小标宋简体" w:cs="方正小标宋简体"/>
          <w:color w:val="auto"/>
          <w:sz w:val="32"/>
          <w:szCs w:val="32"/>
          <w:highlight w:val="none"/>
        </w:rPr>
        <w:t xml:space="preserve">商务要求响应及偏离表</w:t>
      </w:r>
      <w:r>
        <w:rPr>
          <w:color w:val="auto"/>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873"/>
              <w:jc w:val="center"/>
              <w:rPr>
                <w:rFonts w:hint="eastAsia" w:ascii="宋体" w:hAnsi="宋体"/>
                <w:color w:val="auto"/>
                <w:sz w:val="24"/>
                <w:szCs w:val="24"/>
                <w:highlight w:val="none"/>
              </w:rPr>
            </w:pPr>
            <w:r>
              <w:rPr>
                <w:color w:val="auto"/>
                <w:highlight w:val="none"/>
              </w:rPr>
            </w:r>
            <w:bookmarkStart w:id="206" w:name="_Hlt26671372"/>
            <w:r>
              <w:rPr>
                <w:color w:val="auto"/>
                <w:highlight w:val="none"/>
              </w:rPr>
            </w:r>
            <w:bookmarkEnd w:id="206"/>
            <w:r>
              <w:rPr>
                <w:color w:val="auto"/>
                <w:highlight w:val="none"/>
              </w:rPr>
            </w:r>
            <w:bookmarkStart w:id="207" w:name="_Hlt26782999"/>
            <w:r>
              <w:rPr>
                <w:color w:val="auto"/>
                <w:highlight w:val="none"/>
              </w:rPr>
            </w:r>
            <w:bookmarkEnd w:id="207"/>
            <w:r>
              <w:rPr>
                <w:color w:val="auto"/>
                <w:highlight w:val="none"/>
              </w:rPr>
            </w:r>
            <w:bookmarkStart w:id="208" w:name="_Hlt26671343"/>
            <w:r>
              <w:rPr>
                <w:color w:val="auto"/>
                <w:highlight w:val="none"/>
              </w:rPr>
            </w:r>
            <w:bookmarkEnd w:id="208"/>
            <w:r>
              <w:rPr>
                <w:color w:val="auto"/>
                <w:highlight w:val="none"/>
              </w:rPr>
            </w:r>
            <w:bookmarkStart w:id="209" w:name="_Hlt26955064"/>
            <w:r>
              <w:rPr>
                <w:color w:val="auto"/>
                <w:highlight w:val="none"/>
              </w:rPr>
            </w:r>
            <w:bookmarkEnd w:id="209"/>
            <w:r>
              <w:rPr>
                <w:color w:val="auto"/>
                <w:highlight w:val="none"/>
              </w:rPr>
            </w:r>
            <w:bookmarkStart w:id="210" w:name="_Hlt26609391"/>
            <w:r>
              <w:rPr>
                <w:color w:val="auto"/>
                <w:highlight w:val="none"/>
              </w:rPr>
            </w:r>
            <w:bookmarkEnd w:id="210"/>
            <w:r>
              <w:rPr>
                <w:color w:val="auto"/>
                <w:highlight w:val="none"/>
              </w:rPr>
            </w:r>
            <w:bookmarkStart w:id="211" w:name="_Hlt26955056"/>
            <w:r>
              <w:rPr>
                <w:color w:val="auto"/>
                <w:highlight w:val="none"/>
              </w:rPr>
            </w:r>
            <w:bookmarkEnd w:id="211"/>
            <w:r>
              <w:rPr>
                <w:color w:val="auto"/>
                <w:highlight w:val="none"/>
              </w:rPr>
            </w:r>
            <w:bookmarkStart w:id="212" w:name="_Hlt26580838"/>
            <w:r>
              <w:rPr>
                <w:color w:val="auto"/>
                <w:highlight w:val="none"/>
              </w:rPr>
            </w:r>
            <w:bookmarkEnd w:id="212"/>
            <w:r>
              <w:rPr>
                <w:color w:val="auto"/>
                <w:highlight w:val="none"/>
              </w:rPr>
            </w:r>
            <w:bookmarkStart w:id="213" w:name="_Hlt24879081"/>
            <w:r>
              <w:rPr>
                <w:color w:val="auto"/>
                <w:highlight w:val="none"/>
              </w:rPr>
            </w:r>
            <w:bookmarkEnd w:id="213"/>
            <w:r>
              <w:rPr>
                <w:rFonts w:hint="eastAsia" w:ascii="宋体" w:hAnsi="宋体"/>
                <w:color w:val="auto"/>
                <w:sz w:val="24"/>
                <w:szCs w:val="24"/>
                <w:highlight w:val="none"/>
              </w:rPr>
              <w:t xml:space="preserve">序号</w:t>
            </w:r>
            <w:r>
              <w:rPr>
                <w:color w:val="auto"/>
                <w:highlight w:val="none"/>
              </w:rPr>
            </w:r>
            <w:r/>
          </w:p>
        </w:tc>
        <w:tc>
          <w:tcPr>
            <w:tcW w:w="2838" w:type="dxa"/>
            <w:vAlign w:val="center"/>
            <w:textDirection w:val="lrTb"/>
            <w:noWrap w:val="false"/>
          </w:tcPr>
          <w:p>
            <w:pPr>
              <w:pStyle w:val="873"/>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招标文件要求</w:t>
            </w:r>
            <w:r>
              <w:rPr>
                <w:color w:val="auto"/>
                <w:highlight w:val="none"/>
              </w:rPr>
            </w:r>
            <w:r/>
          </w:p>
        </w:tc>
        <w:tc>
          <w:tcPr>
            <w:tcW w:w="2832" w:type="dxa"/>
            <w:vAlign w:val="center"/>
            <w:textDirection w:val="lrTb"/>
            <w:noWrap w:val="false"/>
          </w:tcPr>
          <w:p>
            <w:pPr>
              <w:pStyle w:val="873"/>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rPr>
                <w:color w:val="auto"/>
                <w:highlight w:val="none"/>
              </w:rPr>
            </w:r>
            <w:r/>
          </w:p>
        </w:tc>
        <w:tc>
          <w:tcPr>
            <w:tcW w:w="3346" w:type="dxa"/>
            <w:vAlign w:val="center"/>
            <w:textDirection w:val="lrTb"/>
            <w:noWrap w:val="false"/>
          </w:tcPr>
          <w:p>
            <w:pPr>
              <w:pStyle w:val="873"/>
              <w:jc w:val="center"/>
              <w:rPr>
                <w:rFonts w:hint="eastAsia" w:ascii="宋体" w:hAnsi="宋体"/>
                <w:color w:val="auto"/>
                <w:sz w:val="24"/>
                <w:szCs w:val="24"/>
                <w:highlight w:val="none"/>
              </w:rPr>
            </w:pPr>
            <w:r>
              <w:rPr>
                <w:rFonts w:hint="eastAsia" w:cs="宋体"/>
                <w:color w:val="auto"/>
                <w:sz w:val="24"/>
                <w:szCs w:val="24"/>
                <w:highlight w:val="none"/>
              </w:rPr>
              <w:t xml:space="preserve">正偏离、无偏离或负偏离</w:t>
            </w:r>
            <w:r>
              <w:rPr>
                <w:color w:val="auto"/>
                <w:highlight w:val="none"/>
              </w:rPr>
            </w:r>
            <w:r/>
          </w:p>
        </w:tc>
      </w:tr>
      <w:tr>
        <w:trPr>
          <w:cantSplit/>
          <w:trHeight w:val="640"/>
        </w:trPr>
        <w:tc>
          <w:tcPr>
            <w:tcW w:w="835" w:type="dxa"/>
            <w:vAlign w:val="top"/>
            <w:textDirection w:val="lrTb"/>
            <w:noWrap w:val="false"/>
          </w:tcPr>
          <w:p>
            <w:pPr>
              <w:pStyle w:val="873"/>
              <w:jc w:val="center"/>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c>
          <w:tcPr>
            <w:tcW w:w="2838" w:type="dxa"/>
            <w:vAlign w:val="top"/>
            <w:textDirection w:val="lrTb"/>
            <w:noWrap w:val="false"/>
          </w:tcPr>
          <w:p>
            <w:pPr>
              <w:pStyle w:val="873"/>
              <w:jc w:val="center"/>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c>
          <w:tcPr>
            <w:tcW w:w="2832" w:type="dxa"/>
            <w:vAlign w:val="top"/>
            <w:textDirection w:val="lrTb"/>
            <w:noWrap w:val="false"/>
          </w:tcPr>
          <w:p>
            <w:pPr>
              <w:pStyle w:val="873"/>
              <w:jc w:val="center"/>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c>
          <w:tcPr>
            <w:tcW w:w="3346" w:type="dxa"/>
            <w:vAlign w:val="top"/>
            <w:textDirection w:val="lrTb"/>
            <w:noWrap w:val="false"/>
          </w:tcPr>
          <w:p>
            <w:pPr>
              <w:pStyle w:val="873"/>
              <w:jc w:val="center"/>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r>
      <w:tr>
        <w:trPr>
          <w:cantSplit/>
          <w:trHeight w:val="640"/>
        </w:trPr>
        <w:tc>
          <w:tcPr>
            <w:tcW w:w="835" w:type="dxa"/>
            <w:vAlign w:val="top"/>
            <w:textDirection w:val="lrTb"/>
            <w:noWrap w:val="false"/>
          </w:tcPr>
          <w:p>
            <w:pPr>
              <w:pStyle w:val="873"/>
              <w:jc w:val="center"/>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c>
          <w:tcPr>
            <w:tcW w:w="2838" w:type="dxa"/>
            <w:vAlign w:val="top"/>
            <w:textDirection w:val="lrTb"/>
            <w:noWrap w:val="false"/>
          </w:tcPr>
          <w:p>
            <w:pPr>
              <w:pStyle w:val="873"/>
              <w:jc w:val="center"/>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c>
          <w:tcPr>
            <w:tcW w:w="2832" w:type="dxa"/>
            <w:vAlign w:val="top"/>
            <w:textDirection w:val="lrTb"/>
            <w:noWrap w:val="false"/>
          </w:tcPr>
          <w:p>
            <w:pPr>
              <w:pStyle w:val="873"/>
              <w:jc w:val="center"/>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c>
          <w:tcPr>
            <w:tcW w:w="3346" w:type="dxa"/>
            <w:vAlign w:val="top"/>
            <w:textDirection w:val="lrTb"/>
            <w:noWrap w:val="false"/>
          </w:tcPr>
          <w:p>
            <w:pPr>
              <w:pStyle w:val="873"/>
              <w:jc w:val="center"/>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r>
      <w:tr>
        <w:trPr>
          <w:cantSplit/>
          <w:trHeight w:val="640"/>
        </w:trPr>
        <w:tc>
          <w:tcPr>
            <w:tcW w:w="835" w:type="dxa"/>
            <w:vAlign w:val="top"/>
            <w:textDirection w:val="lrTb"/>
            <w:noWrap w:val="false"/>
          </w:tcPr>
          <w:p>
            <w:pPr>
              <w:pStyle w:val="873"/>
              <w:jc w:val="center"/>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c>
          <w:tcPr>
            <w:tcW w:w="2838" w:type="dxa"/>
            <w:vAlign w:val="top"/>
            <w:textDirection w:val="lrTb"/>
            <w:noWrap w:val="false"/>
          </w:tcPr>
          <w:p>
            <w:pPr>
              <w:pStyle w:val="873"/>
              <w:jc w:val="center"/>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c>
          <w:tcPr>
            <w:tcW w:w="2832" w:type="dxa"/>
            <w:vAlign w:val="top"/>
            <w:textDirection w:val="lrTb"/>
            <w:noWrap w:val="false"/>
          </w:tcPr>
          <w:p>
            <w:pPr>
              <w:pStyle w:val="873"/>
              <w:jc w:val="center"/>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c>
          <w:tcPr>
            <w:tcW w:w="3346" w:type="dxa"/>
            <w:vAlign w:val="top"/>
            <w:textDirection w:val="lrTb"/>
            <w:noWrap w:val="false"/>
          </w:tcPr>
          <w:p>
            <w:pPr>
              <w:pStyle w:val="873"/>
              <w:jc w:val="center"/>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r>
      <w:tr>
        <w:trPr>
          <w:cantSplit/>
          <w:trHeight w:val="640"/>
        </w:trPr>
        <w:tc>
          <w:tcPr>
            <w:tcW w:w="835" w:type="dxa"/>
            <w:vAlign w:val="top"/>
            <w:textDirection w:val="lrTb"/>
            <w:noWrap w:val="false"/>
          </w:tcPr>
          <w:p>
            <w:pPr>
              <w:pStyle w:val="873"/>
              <w:jc w:val="center"/>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c>
          <w:tcPr>
            <w:tcW w:w="2838" w:type="dxa"/>
            <w:vAlign w:val="top"/>
            <w:textDirection w:val="lrTb"/>
            <w:noWrap w:val="false"/>
          </w:tcPr>
          <w:p>
            <w:pPr>
              <w:pStyle w:val="873"/>
              <w:jc w:val="center"/>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c>
          <w:tcPr>
            <w:tcW w:w="2832" w:type="dxa"/>
            <w:vAlign w:val="top"/>
            <w:textDirection w:val="lrTb"/>
            <w:noWrap w:val="false"/>
          </w:tcPr>
          <w:p>
            <w:pPr>
              <w:pStyle w:val="873"/>
              <w:jc w:val="center"/>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c>
          <w:tcPr>
            <w:tcW w:w="3346" w:type="dxa"/>
            <w:vAlign w:val="top"/>
            <w:textDirection w:val="lrTb"/>
            <w:noWrap w:val="false"/>
          </w:tcPr>
          <w:p>
            <w:pPr>
              <w:pStyle w:val="873"/>
              <w:jc w:val="center"/>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r>
      <w:tr>
        <w:trPr>
          <w:cantSplit/>
          <w:trHeight w:val="640"/>
        </w:trPr>
        <w:tc>
          <w:tcPr>
            <w:tcW w:w="835" w:type="dxa"/>
            <w:vAlign w:val="top"/>
            <w:textDirection w:val="lrTb"/>
            <w:noWrap w:val="false"/>
          </w:tcPr>
          <w:p>
            <w:pPr>
              <w:pStyle w:val="873"/>
              <w:jc w:val="center"/>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c>
          <w:tcPr>
            <w:tcW w:w="2838" w:type="dxa"/>
            <w:vAlign w:val="top"/>
            <w:textDirection w:val="lrTb"/>
            <w:noWrap w:val="false"/>
          </w:tcPr>
          <w:p>
            <w:pPr>
              <w:pStyle w:val="873"/>
              <w:jc w:val="center"/>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c>
          <w:tcPr>
            <w:tcW w:w="2832" w:type="dxa"/>
            <w:vAlign w:val="top"/>
            <w:textDirection w:val="lrTb"/>
            <w:noWrap w:val="false"/>
          </w:tcPr>
          <w:p>
            <w:pPr>
              <w:pStyle w:val="873"/>
              <w:jc w:val="center"/>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c>
          <w:tcPr>
            <w:tcW w:w="3346" w:type="dxa"/>
            <w:vAlign w:val="top"/>
            <w:textDirection w:val="lrTb"/>
            <w:noWrap w:val="false"/>
          </w:tcPr>
          <w:p>
            <w:pPr>
              <w:pStyle w:val="873"/>
              <w:jc w:val="center"/>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r>
      <w:tr>
        <w:trPr>
          <w:cantSplit/>
          <w:trHeight w:val="640"/>
        </w:trPr>
        <w:tc>
          <w:tcPr>
            <w:tcW w:w="835" w:type="dxa"/>
            <w:vAlign w:val="top"/>
            <w:textDirection w:val="lrTb"/>
            <w:noWrap w:val="false"/>
          </w:tcPr>
          <w:p>
            <w:pPr>
              <w:pStyle w:val="873"/>
              <w:jc w:val="center"/>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c>
          <w:tcPr>
            <w:tcW w:w="2838" w:type="dxa"/>
            <w:vAlign w:val="top"/>
            <w:textDirection w:val="lrTb"/>
            <w:noWrap w:val="false"/>
          </w:tcPr>
          <w:p>
            <w:pPr>
              <w:pStyle w:val="873"/>
              <w:jc w:val="center"/>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c>
          <w:tcPr>
            <w:tcW w:w="2832" w:type="dxa"/>
            <w:vAlign w:val="top"/>
            <w:textDirection w:val="lrTb"/>
            <w:noWrap w:val="false"/>
          </w:tcPr>
          <w:p>
            <w:pPr>
              <w:pStyle w:val="873"/>
              <w:jc w:val="center"/>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c>
          <w:tcPr>
            <w:tcW w:w="3346" w:type="dxa"/>
            <w:vAlign w:val="top"/>
            <w:textDirection w:val="lrTb"/>
            <w:noWrap w:val="false"/>
          </w:tcPr>
          <w:p>
            <w:pPr>
              <w:pStyle w:val="873"/>
              <w:jc w:val="center"/>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r>
      <w:tr>
        <w:trPr>
          <w:cantSplit/>
          <w:trHeight w:val="640"/>
        </w:trPr>
        <w:tc>
          <w:tcPr>
            <w:tcW w:w="835" w:type="dxa"/>
            <w:vAlign w:val="top"/>
            <w:textDirection w:val="lrTb"/>
            <w:noWrap w:val="false"/>
          </w:tcPr>
          <w:p>
            <w:pPr>
              <w:pStyle w:val="873"/>
              <w:jc w:val="center"/>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c>
          <w:tcPr>
            <w:tcW w:w="2838" w:type="dxa"/>
            <w:vAlign w:val="top"/>
            <w:textDirection w:val="lrTb"/>
            <w:noWrap w:val="false"/>
          </w:tcPr>
          <w:p>
            <w:pPr>
              <w:pStyle w:val="873"/>
              <w:jc w:val="center"/>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c>
          <w:tcPr>
            <w:tcW w:w="2832" w:type="dxa"/>
            <w:vAlign w:val="top"/>
            <w:textDirection w:val="lrTb"/>
            <w:noWrap w:val="false"/>
          </w:tcPr>
          <w:p>
            <w:pPr>
              <w:pStyle w:val="873"/>
              <w:jc w:val="center"/>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c>
          <w:tcPr>
            <w:tcW w:w="3346" w:type="dxa"/>
            <w:vAlign w:val="top"/>
            <w:textDirection w:val="lrTb"/>
            <w:noWrap w:val="false"/>
          </w:tcPr>
          <w:p>
            <w:pPr>
              <w:pStyle w:val="873"/>
              <w:jc w:val="center"/>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r>
      <w:tr>
        <w:trPr>
          <w:cantSplit/>
          <w:trHeight w:val="640"/>
        </w:trPr>
        <w:tc>
          <w:tcPr>
            <w:tcW w:w="835" w:type="dxa"/>
            <w:vAlign w:val="top"/>
            <w:textDirection w:val="lrTb"/>
            <w:noWrap w:val="false"/>
          </w:tcPr>
          <w:p>
            <w:pPr>
              <w:pStyle w:val="873"/>
              <w:jc w:val="center"/>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c>
          <w:tcPr>
            <w:tcW w:w="2838" w:type="dxa"/>
            <w:vAlign w:val="top"/>
            <w:textDirection w:val="lrTb"/>
            <w:noWrap w:val="false"/>
          </w:tcPr>
          <w:p>
            <w:pPr>
              <w:pStyle w:val="873"/>
              <w:jc w:val="center"/>
              <w:rPr>
                <w:color w:val="auto"/>
                <w:highlight w:val="none"/>
              </w:rPr>
            </w:pPr>
            <w:r>
              <w:rPr>
                <w:color w:val="auto"/>
                <w:highlight w:val="none"/>
              </w:rPr>
            </w:r>
            <w:r>
              <w:rPr>
                <w:color w:val="auto"/>
                <w:highlight w:val="none"/>
              </w:rPr>
            </w:r>
            <w:r/>
          </w:p>
          <w:p>
            <w:pPr>
              <w:pStyle w:val="942"/>
              <w:rPr>
                <w:rFonts w:hint="eastAsia"/>
                <w:color w:val="auto"/>
                <w:highlight w:val="none"/>
              </w:rPr>
            </w:pPr>
            <w:r>
              <w:rPr>
                <w:rFonts w:hint="eastAsia"/>
                <w:color w:val="auto"/>
                <w:highlight w:val="none"/>
              </w:rPr>
            </w:r>
            <w:r>
              <w:rPr>
                <w:color w:val="auto"/>
                <w:highlight w:val="none"/>
              </w:rPr>
            </w:r>
            <w:r/>
          </w:p>
        </w:tc>
        <w:tc>
          <w:tcPr>
            <w:tcW w:w="2832" w:type="dxa"/>
            <w:vAlign w:val="top"/>
            <w:textDirection w:val="lrTb"/>
            <w:noWrap w:val="false"/>
          </w:tcPr>
          <w:p>
            <w:pPr>
              <w:pStyle w:val="873"/>
              <w:jc w:val="center"/>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c>
          <w:tcPr>
            <w:tcW w:w="3346" w:type="dxa"/>
            <w:vAlign w:val="top"/>
            <w:textDirection w:val="lrTb"/>
            <w:noWrap w:val="false"/>
          </w:tcPr>
          <w:p>
            <w:pPr>
              <w:pStyle w:val="873"/>
              <w:jc w:val="center"/>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tc>
      </w:tr>
    </w:tbl>
    <w:p>
      <w:pPr>
        <w:pStyle w:val="936"/>
        <w:jc w:val="both"/>
        <w:spacing w:before="0" w:beforeAutospacing="0" w:after="0" w:afterAutospacing="0"/>
        <w:rPr>
          <w:color w:val="auto"/>
          <w:highlight w:val="none"/>
        </w:rPr>
      </w:pPr>
      <w:r>
        <w:rPr>
          <w:color w:val="auto"/>
          <w:highlight w:val="none"/>
        </w:rPr>
      </w:r>
      <w:r>
        <w:rPr>
          <w:color w:val="auto"/>
          <w:highlight w:val="none"/>
        </w:rPr>
      </w:r>
      <w:r/>
    </w:p>
    <w:p>
      <w:pPr>
        <w:pStyle w:val="873"/>
        <w:ind w:right="18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投标人名称：（加盖电子公章）</w:t>
      </w:r>
      <w:r>
        <w:rPr>
          <w:color w:val="auto"/>
          <w:highlight w:val="none"/>
        </w:rPr>
      </w:r>
      <w:r/>
    </w:p>
    <w:p>
      <w:pPr>
        <w:pStyle w:val="873"/>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p>
      <w:pPr>
        <w:pStyle w:val="936"/>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备注： </w:t>
      </w:r>
      <w:r>
        <w:rPr>
          <w:color w:val="auto"/>
          <w:highlight w:val="none"/>
        </w:rPr>
      </w:r>
      <w:r/>
    </w:p>
    <w:p>
      <w:pPr>
        <w:pStyle w:val="936"/>
        <w:ind w:firstLine="480"/>
        <w:jc w:val="both"/>
        <w:spacing w:before="0" w:beforeAutospacing="0" w:after="0" w:afterAutospacing="0" w:line="360" w:lineRule="auto"/>
        <w:rPr>
          <w:color w:val="auto"/>
          <w:highlight w:val="none"/>
        </w:rPr>
      </w:pPr>
      <w:r>
        <w:rPr>
          <w:rFonts w:hint="eastAsia"/>
          <w:color w:val="auto"/>
          <w:highlight w:val="none"/>
        </w:rPr>
        <w:t xml:space="preserve">1.供应商须对招标文件商务要求中的实质性要求（斜体下划线内容或打“★”内容）做出明确响应，否则视为无效投标。</w:t>
      </w:r>
      <w:r>
        <w:rPr>
          <w:color w:val="auto"/>
          <w:highlight w:val="none"/>
        </w:rPr>
      </w:r>
      <w:r/>
    </w:p>
    <w:p>
      <w:pPr>
        <w:pStyle w:val="936"/>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2.行数不够，可自行添加。</w:t>
      </w:r>
      <w:r>
        <w:rPr>
          <w:color w:val="auto"/>
          <w:highlight w:val="none"/>
        </w:rPr>
      </w:r>
      <w:r/>
    </w:p>
    <w:p>
      <w:pPr>
        <w:pStyle w:val="873"/>
        <w:rPr>
          <w:color w:val="auto"/>
          <w:highlight w:val="none"/>
        </w:rPr>
      </w:pPr>
      <w:r>
        <w:rPr>
          <w:color w:val="auto"/>
          <w:highlight w:val="none"/>
        </w:rPr>
      </w:r>
      <w:r>
        <w:rPr>
          <w:color w:val="auto"/>
          <w:highlight w:val="none"/>
        </w:rPr>
      </w:r>
      <w:r/>
    </w:p>
    <w:p>
      <w:pPr>
        <w:pStyle w:val="873"/>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rPr>
          <w:color w:val="auto"/>
          <w:highlight w:val="none"/>
        </w:rPr>
      </w:r>
      <w:r/>
    </w:p>
    <w:p>
      <w:pPr>
        <w:pStyle w:val="951"/>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rPr>
          <w:color w:val="auto"/>
          <w:highlight w:val="none"/>
        </w:rPr>
      </w:r>
      <w:r/>
    </w:p>
    <w:p>
      <w:pPr>
        <w:pStyle w:val="873"/>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rPr>
          <w:color w:val="auto"/>
          <w:highlight w:val="none"/>
        </w:rPr>
      </w:r>
      <w:r/>
    </w:p>
    <w:p>
      <w:pPr>
        <w:rPr>
          <w:rFonts w:hint="eastAsia" w:ascii="黑体" w:hAnsi="黑体" w:eastAsia="黑体"/>
          <w:color w:val="auto"/>
          <w:sz w:val="32"/>
          <w:szCs w:val="32"/>
          <w:highlight w:val="none"/>
        </w:rPr>
      </w:pPr>
      <w:r>
        <w:rPr>
          <w:rFonts w:hint="eastAsia" w:ascii="黑体" w:hAnsi="黑体" w:eastAsia="黑体"/>
          <w:iCs/>
          <w:color w:val="auto"/>
          <w:sz w:val="32"/>
          <w:szCs w:val="32"/>
          <w:highlight w:val="none"/>
        </w:rPr>
      </w:r>
      <w:r>
        <w:rPr>
          <w:rFonts w:hint="eastAsia" w:ascii="黑体" w:hAnsi="黑体" w:eastAsia="黑体"/>
          <w:iCs/>
          <w:color w:val="auto"/>
          <w:sz w:val="32"/>
          <w:szCs w:val="32"/>
          <w:highlight w:val="none"/>
        </w:rPr>
      </w:r>
    </w:p>
    <w:p>
      <w:pPr>
        <w:rPr>
          <w:rFonts w:hint="eastAsia" w:ascii="黑体" w:hAnsi="黑体" w:eastAsia="黑体"/>
          <w:color w:val="auto"/>
          <w:sz w:val="32"/>
          <w:szCs w:val="32"/>
          <w:highlight w:val="none"/>
        </w:rPr>
      </w:pPr>
      <w:r>
        <w:rPr>
          <w:rFonts w:hint="eastAsia" w:ascii="黑体" w:hAnsi="黑体" w:eastAsia="黑体"/>
          <w:iCs/>
          <w:color w:val="auto"/>
          <w:sz w:val="32"/>
          <w:szCs w:val="32"/>
          <w:highlight w:val="none"/>
        </w:rPr>
      </w:r>
      <w:r>
        <w:rPr>
          <w:rFonts w:hint="eastAsia" w:ascii="黑体" w:hAnsi="黑体" w:eastAsia="黑体"/>
          <w:iCs/>
          <w:color w:val="auto"/>
          <w:sz w:val="32"/>
          <w:szCs w:val="32"/>
          <w:highlight w:val="none"/>
        </w:rPr>
      </w:r>
    </w:p>
    <w:p>
      <w:pPr>
        <w:rPr>
          <w:rFonts w:hint="eastAsia" w:ascii="黑体" w:hAnsi="黑体" w:eastAsia="黑体"/>
          <w:color w:val="auto"/>
          <w:sz w:val="32"/>
          <w:szCs w:val="32"/>
          <w:highlight w:val="none"/>
        </w:rPr>
      </w:pPr>
      <w:r>
        <w:rPr>
          <w:rFonts w:hint="eastAsia" w:ascii="黑体" w:hAnsi="黑体" w:eastAsia="黑体"/>
          <w:iCs/>
          <w:color w:val="auto"/>
          <w:sz w:val="32"/>
          <w:szCs w:val="32"/>
          <w:highlight w:val="none"/>
        </w:rPr>
      </w:r>
      <w:r>
        <w:rPr>
          <w:rFonts w:hint="eastAsia" w:ascii="黑体" w:hAnsi="黑体" w:eastAsia="黑体"/>
          <w:iCs/>
          <w:color w:val="auto"/>
          <w:sz w:val="32"/>
          <w:szCs w:val="32"/>
          <w:highlight w:val="none"/>
        </w:rPr>
      </w:r>
    </w:p>
    <w:p>
      <w:pPr>
        <w:rPr>
          <w:rFonts w:hint="eastAsia" w:ascii="黑体" w:hAnsi="黑体" w:eastAsia="黑体"/>
          <w:color w:val="auto"/>
          <w:sz w:val="32"/>
          <w:szCs w:val="32"/>
          <w:highlight w:val="none"/>
        </w:rPr>
      </w:pPr>
      <w:r>
        <w:rPr>
          <w:rFonts w:hint="eastAsia" w:ascii="黑体" w:hAnsi="黑体" w:eastAsia="黑体"/>
          <w:iCs/>
          <w:color w:val="auto"/>
          <w:sz w:val="32"/>
          <w:szCs w:val="32"/>
          <w:highlight w:val="none"/>
        </w:rPr>
      </w:r>
      <w:r>
        <w:rPr>
          <w:rFonts w:hint="eastAsia" w:ascii="黑体" w:hAnsi="黑体" w:eastAsia="黑体"/>
          <w:iCs/>
          <w:color w:val="auto"/>
          <w:sz w:val="32"/>
          <w:szCs w:val="32"/>
          <w:highlight w:val="none"/>
        </w:rPr>
      </w:r>
    </w:p>
    <w:p>
      <w:pPr>
        <w:rPr>
          <w:rFonts w:hint="eastAsia" w:ascii="黑体" w:hAnsi="黑体" w:eastAsia="黑体"/>
          <w:color w:val="auto"/>
          <w:sz w:val="32"/>
          <w:szCs w:val="32"/>
          <w:highlight w:val="none"/>
        </w:rPr>
      </w:pPr>
      <w:r>
        <w:rPr>
          <w:rFonts w:hint="eastAsia" w:ascii="黑体" w:hAnsi="黑体" w:eastAsia="黑体"/>
          <w:iCs/>
          <w:color w:val="auto"/>
          <w:sz w:val="32"/>
          <w:szCs w:val="32"/>
          <w:highlight w:val="none"/>
        </w:rPr>
      </w:r>
      <w:r>
        <w:rPr>
          <w:rFonts w:hint="eastAsia" w:ascii="黑体" w:hAnsi="黑体" w:eastAsia="黑体"/>
          <w:iCs/>
          <w:color w:val="auto"/>
          <w:sz w:val="32"/>
          <w:szCs w:val="32"/>
          <w:highlight w:val="none"/>
        </w:rPr>
      </w:r>
    </w:p>
    <w:p>
      <w:pPr>
        <w:pStyle w:val="873"/>
        <w:rPr>
          <w:rFonts w:hint="eastAsia" w:ascii="黑体" w:hAnsi="黑体" w:eastAsia="黑体"/>
          <w:iCs/>
          <w:color w:val="auto"/>
          <w:sz w:val="32"/>
          <w:szCs w:val="32"/>
          <w:highlight w:val="none"/>
        </w:rPr>
      </w:pPr>
      <w:r>
        <w:rPr>
          <w:rFonts w:hint="eastAsia" w:ascii="黑体" w:hAnsi="黑体" w:eastAsia="黑体"/>
          <w:iCs/>
          <w:color w:val="auto"/>
          <w:sz w:val="32"/>
          <w:szCs w:val="32"/>
          <w:highlight w:val="none"/>
        </w:rPr>
      </w:r>
      <w:r>
        <w:rPr>
          <w:color w:val="auto"/>
          <w:highlight w:val="none"/>
        </w:rPr>
      </w:r>
      <w:r/>
    </w:p>
    <w:p>
      <w:pPr>
        <w:pStyle w:val="873"/>
        <w:rPr>
          <w:rFonts w:hint="eastAsia" w:ascii="黑体" w:hAnsi="黑体" w:eastAsia="黑体"/>
          <w:iCs/>
          <w:color w:val="auto"/>
          <w:sz w:val="32"/>
          <w:szCs w:val="32"/>
          <w:highlight w:val="none"/>
        </w:rPr>
      </w:pPr>
      <w:r>
        <w:rPr>
          <w:rFonts w:hint="eastAsia" w:ascii="黑体" w:hAnsi="黑体" w:eastAsia="黑体"/>
          <w:iCs/>
          <w:color w:val="auto"/>
          <w:sz w:val="32"/>
          <w:szCs w:val="32"/>
          <w:highlight w:val="none"/>
        </w:rPr>
      </w:r>
      <w:r>
        <w:rPr>
          <w:color w:val="auto"/>
          <w:highlight w:val="none"/>
        </w:rPr>
      </w:r>
      <w:r/>
    </w:p>
    <w:p>
      <w:pPr>
        <w:pStyle w:val="873"/>
        <w:rPr>
          <w:rFonts w:hint="eastAsia" w:ascii="黑体" w:hAnsi="黑体" w:eastAsia="黑体"/>
          <w:iCs/>
          <w:color w:val="auto"/>
          <w:sz w:val="32"/>
          <w:szCs w:val="32"/>
          <w:highlight w:val="none"/>
        </w:rPr>
      </w:pPr>
      <w:r>
        <w:rPr>
          <w:rFonts w:hint="eastAsia" w:ascii="黑体" w:hAnsi="黑体" w:eastAsia="黑体"/>
          <w:iCs/>
          <w:color w:val="auto"/>
          <w:sz w:val="32"/>
          <w:szCs w:val="32"/>
          <w:highlight w:val="none"/>
        </w:rPr>
        <w:t xml:space="preserve">九、中小企业声明函</w:t>
      </w:r>
      <w:r>
        <w:rPr>
          <w:color w:val="auto"/>
          <w:highlight w:val="none"/>
        </w:rPr>
      </w:r>
      <w:r/>
    </w:p>
    <w:p>
      <w:pPr>
        <w:pStyle w:val="873"/>
        <w:jc w:val="center"/>
        <w:spacing w:line="360" w:lineRule="auto"/>
        <w:rPr>
          <w:rFonts w:hint="eastAsia" w:ascii="方正小标宋简体" w:hAnsi="方正小标宋简体" w:eastAsia="方正小标宋简体" w:cs="方正小标宋简体"/>
          <w:color w:val="auto"/>
          <w:sz w:val="32"/>
          <w:szCs w:val="32"/>
          <w:highlight w:val="none"/>
        </w:rPr>
        <w:outlineLvl w:val="2"/>
      </w:pPr>
      <w:r>
        <w:rPr>
          <w:rFonts w:hint="eastAsia" w:ascii="方正小标宋简体" w:hAnsi="方正小标宋简体" w:eastAsia="方正小标宋简体" w:cs="方正小标宋简体"/>
          <w:color w:val="auto"/>
          <w:sz w:val="32"/>
          <w:szCs w:val="32"/>
          <w:highlight w:val="none"/>
        </w:rPr>
        <w:t xml:space="preserve">中小企业声明函（服务）</w:t>
      </w:r>
      <w:r>
        <w:rPr>
          <w:color w:val="auto"/>
          <w:highlight w:val="none"/>
        </w:rPr>
      </w:r>
      <w:r/>
    </w:p>
    <w:p>
      <w:pPr>
        <w:pStyle w:val="873"/>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color w:val="auto"/>
          <w:sz w:val="24"/>
          <w:szCs w:val="24"/>
          <w:highlight w:val="none"/>
          <w:u w:val="single"/>
        </w:rPr>
        <w:t xml:space="preserve">XXXXXXXXXXXXXXXXXXXXXXXXX</w:t>
      </w:r>
      <w:r>
        <w:rPr>
          <w:rFonts w:hint="eastAsia" w:ascii="宋体" w:hAnsi="宋体"/>
          <w:color w:val="auto"/>
          <w:sz w:val="24"/>
          <w:szCs w:val="24"/>
          <w:highlight w:val="none"/>
        </w:rPr>
        <w:t xml:space="preserve">（单位名称）采购编号为</w:t>
      </w:r>
      <w:r>
        <w:rPr>
          <w:rFonts w:hint="eastAsia" w:ascii="宋体" w:hAnsi="宋体"/>
          <w:color w:val="auto"/>
          <w:sz w:val="24"/>
          <w:szCs w:val="24"/>
          <w:highlight w:val="none"/>
          <w:u w:val="single"/>
        </w:rPr>
        <w:t xml:space="preserve">XXXXXXXXXXXXXXXXXXXXXXXXX</w:t>
      </w:r>
      <w:r>
        <w:rPr>
          <w:rFonts w:hint="eastAsia" w:ascii="宋体" w:hAnsi="宋体"/>
          <w:color w:val="auto"/>
          <w:sz w:val="24"/>
          <w:szCs w:val="24"/>
          <w:highlight w:val="none"/>
        </w:rPr>
        <w:t xml:space="preserve">项目（采购包号：</w:t>
      </w:r>
      <w:r>
        <w:rPr>
          <w:rFonts w:hint="eastAsia" w:ascii="宋体" w:hAnsi="宋体"/>
          <w:color w:val="auto"/>
          <w:sz w:val="24"/>
          <w:szCs w:val="24"/>
          <w:highlight w:val="none"/>
          <w:u w:val="single"/>
        </w:rPr>
        <w:t xml:space="preserve">XXX</w:t>
      </w:r>
      <w:r>
        <w:rPr>
          <w:rFonts w:hint="eastAsia" w:ascii="宋体" w:hAnsi="宋体"/>
          <w:color w:val="auto"/>
          <w:sz w:val="24"/>
          <w:szCs w:val="24"/>
          <w:highlight w:val="none"/>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color w:val="auto"/>
          <w:sz w:val="24"/>
          <w:szCs w:val="24"/>
          <w:highlight w:val="none"/>
        </w:rPr>
        <w:t xml:space="preserve">〔</w:t>
      </w:r>
      <w:r>
        <w:rPr>
          <w:rFonts w:hint="eastAsia" w:ascii="宋体" w:hAnsi="宋体"/>
          <w:color w:val="auto"/>
          <w:sz w:val="24"/>
          <w:szCs w:val="24"/>
          <w:highlight w:val="none"/>
        </w:rPr>
        <w:t xml:space="preserve">2011</w:t>
      </w:r>
      <w:r>
        <w:rPr>
          <w:rFonts w:hint="eastAsia" w:ascii="仿宋_GB2312" w:hAnsi="仿宋_GB2312" w:eastAsia="仿宋_GB2312" w:cs="仿宋_GB2312"/>
          <w:color w:val="auto"/>
          <w:sz w:val="24"/>
          <w:szCs w:val="24"/>
          <w:highlight w:val="none"/>
        </w:rPr>
        <w:t xml:space="preserve">〕</w:t>
      </w:r>
      <w:r>
        <w:rPr>
          <w:rFonts w:hint="eastAsia" w:ascii="宋体" w:hAnsi="宋体"/>
          <w:color w:val="auto"/>
          <w:sz w:val="24"/>
          <w:szCs w:val="24"/>
          <w:highlight w:val="none"/>
        </w:rPr>
        <w:t xml:space="preserve">300号)的规定，相关企业（含联合体中的小微企业、签订分包意向协议的中小企业）的具体情况如下：</w:t>
      </w:r>
      <w:r>
        <w:rPr>
          <w:color w:val="auto"/>
          <w:highlight w:val="none"/>
        </w:rPr>
      </w:r>
      <w:r/>
    </w:p>
    <w:p>
      <w:pPr>
        <w:pStyle w:val="873"/>
        <w:ind w:firstLine="480"/>
        <w:spacing w:line="360" w:lineRule="auto"/>
        <w:rPr>
          <w:rFonts w:hint="eastAsia" w:ascii="宋体" w:hAnsi="宋体"/>
          <w:i/>
          <w:color w:val="auto"/>
          <w:sz w:val="24"/>
          <w:szCs w:val="24"/>
          <w:highlight w:val="none"/>
          <w:u w:val="single"/>
        </w:rPr>
      </w:pPr>
      <w:r>
        <w:rPr>
          <w:rFonts w:hint="eastAsia" w:ascii="宋体" w:hAnsi="宋体"/>
          <w:color w:val="auto"/>
          <w:sz w:val="24"/>
          <w:szCs w:val="24"/>
          <w:highlight w:val="none"/>
        </w:rPr>
        <w:t xml:space="preserve">1.</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（标的名称）属于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行业（招标文件中明确的所属行业）；承接企业为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（企业名称），从业人员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rPr>
        <w:t xml:space="preserve">，属于</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小型企业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微型企业。</w:t>
      </w:r>
      <w:r>
        <w:rPr>
          <w:color w:val="auto"/>
          <w:highlight w:val="none"/>
        </w:rPr>
      </w:r>
      <w:r/>
    </w:p>
    <w:p>
      <w:pPr>
        <w:pStyle w:val="873"/>
        <w:ind w:firstLine="480"/>
        <w:spacing w:line="360" w:lineRule="auto"/>
        <w:rPr>
          <w:rFonts w:hint="eastAsia" w:ascii="宋体" w:hAnsi="宋体"/>
          <w:i/>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（标的名称）属于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行业（招标文件中明确的所属行业）；承接企业为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（企业名称），从业人员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rPr>
        <w:t xml:space="preserve">，属于</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小型企业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微型企业。</w:t>
      </w:r>
      <w:r>
        <w:rPr>
          <w:color w:val="auto"/>
          <w:highlight w:val="none"/>
        </w:rPr>
      </w:r>
      <w:r/>
    </w:p>
    <w:p>
      <w:pPr>
        <w:pStyle w:val="873"/>
        <w:ind w:firstLine="36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w:t>
      </w:r>
      <w:r>
        <w:rPr>
          <w:color w:val="auto"/>
          <w:highlight w:val="none"/>
        </w:rPr>
      </w:r>
      <w:r/>
    </w:p>
    <w:p>
      <w:pPr>
        <w:pStyle w:val="873"/>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以上企业，不属于大企业的分支机构，不存在控股股东为大企业的情形，也不存在与大企业的负责人为同一人的情形。</w:t>
      </w:r>
      <w:r>
        <w:rPr>
          <w:color w:val="auto"/>
          <w:highlight w:val="none"/>
        </w:rPr>
      </w:r>
      <w:r/>
    </w:p>
    <w:p>
      <w:pPr>
        <w:pStyle w:val="873"/>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本企业对上述声明内容的真实性负责，如有虚假，将依法承担相应责任。</w:t>
      </w:r>
      <w:r>
        <w:rPr>
          <w:color w:val="auto"/>
          <w:highlight w:val="none"/>
        </w:rPr>
      </w:r>
      <w:r/>
    </w:p>
    <w:p>
      <w:pPr>
        <w:pStyle w:val="873"/>
        <w:spacing w:line="360" w:lineRule="auto"/>
        <w:rPr>
          <w:rFonts w:hint="eastAsia"/>
          <w:color w:val="auto"/>
          <w:highlight w:val="none"/>
        </w:rPr>
      </w:pPr>
      <w:r>
        <w:rPr>
          <w:rFonts w:hint="eastAsia"/>
          <w:color w:val="auto"/>
          <w:highlight w:val="none"/>
        </w:rPr>
      </w:r>
      <w:r>
        <w:rPr>
          <w:color w:val="auto"/>
          <w:highlight w:val="none"/>
        </w:rPr>
      </w:r>
      <w:r/>
    </w:p>
    <w:p>
      <w:pPr>
        <w:pStyle w:val="873"/>
        <w:ind w:right="180" w:firstLine="360"/>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                                           企业名称：（加盖电子公章）</w:t>
      </w:r>
      <w:r>
        <w:rPr>
          <w:color w:val="auto"/>
          <w:highlight w:val="none"/>
        </w:rPr>
      </w:r>
      <w:r/>
    </w:p>
    <w:p>
      <w:pPr>
        <w:pStyle w:val="873"/>
        <w:ind w:firstLine="6000"/>
        <w:spacing w:line="360" w:lineRule="auto"/>
        <w:widowControl/>
        <w:rPr>
          <w:rFonts w:hint="eastAsia" w:ascii="宋体" w:hAnsi="宋体"/>
          <w:color w:val="auto"/>
          <w:sz w:val="24"/>
          <w:szCs w:val="24"/>
          <w:highlight w:val="none"/>
        </w:rPr>
      </w:pPr>
      <w:r>
        <w:rPr>
          <w:rFonts w:hint="eastAsia"/>
          <w:color w:val="auto"/>
          <w:sz w:val="24"/>
          <w:szCs w:val="24"/>
          <w:highlight w:val="none"/>
        </w:rPr>
        <w:t xml:space="preserve">日    期：</w:t>
      </w:r>
      <w:r>
        <w:rPr>
          <w:color w:val="auto"/>
          <w:highlight w:val="none"/>
        </w:rPr>
      </w:r>
      <w:r/>
    </w:p>
    <w:p>
      <w:pPr>
        <w:pStyle w:val="873"/>
        <w:ind w:firstLine="482"/>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备注：1.从业人员、营业收入、资产总额填报上一年度数据，无上一年度数据的新成立企业可不填报。2.在所属企业类型前的</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内打“√”。3.投标人如不提供此声明函，不得参加专门面向中小企业采购项目或者不得享受小微企业价格扣除政策。项目清单中列示的所有</w:t>
      </w:r>
      <w:r>
        <w:rPr>
          <w:rFonts w:ascii="宋体" w:hAnsi="宋体"/>
          <w:color w:val="auto"/>
          <w:sz w:val="24"/>
          <w:szCs w:val="24"/>
          <w:highlight w:val="none"/>
        </w:rPr>
        <w:t xml:space="preserve">服务</w:t>
      </w:r>
      <w:r>
        <w:rPr>
          <w:rFonts w:hint="eastAsia" w:ascii="宋体" w:hAnsi="宋体"/>
          <w:color w:val="auto"/>
          <w:sz w:val="24"/>
          <w:szCs w:val="24"/>
          <w:highlight w:val="none"/>
        </w:rPr>
        <w:t xml:space="preserve">，投标人须在声明函中逐项列示并明确承接企业的类型，如有缺失将按“不提供声明函”处理。此声明函将随中标结果同时公告，接受社会监督。4.服务采购项目中，服务的承接商应当为中小企业</w:t>
      </w:r>
      <w:r>
        <w:rPr>
          <w:rFonts w:hint="eastAsia" w:ascii="宋体" w:hAnsi="宋体"/>
          <w:b w:val="0"/>
          <w:bCs w:val="0"/>
          <w:color w:val="auto"/>
          <w:sz w:val="24"/>
          <w:szCs w:val="24"/>
          <w:highlight w:val="none"/>
        </w:rPr>
        <w:t xml:space="preserve">(服务由中小企业承接，即提供服务的人员为中小企业依照《中华人民共和国劳动合同法》订立劳动合同的从业人员)</w:t>
      </w:r>
      <w:r>
        <w:rPr>
          <w:rFonts w:hint="eastAsia" w:ascii="宋体" w:hAnsi="宋体"/>
          <w:color w:val="auto"/>
          <w:sz w:val="24"/>
          <w:szCs w:val="24"/>
          <w:highlight w:val="none"/>
        </w:rPr>
        <w:t xml:space="preserve">，不对其中涉及的货物的制造商、工程的承建商作出要求。</w:t>
      </w:r>
      <w:r>
        <w:rPr>
          <w:color w:val="auto"/>
          <w:highlight w:val="none"/>
        </w:rPr>
      </w:r>
      <w:r/>
    </w:p>
    <w:p>
      <w:pPr>
        <w:pStyle w:val="873"/>
        <w:ind w:firstLine="0"/>
        <w:jc w:val="left"/>
        <w:spacing w:line="360" w:lineRule="auto"/>
        <w:rPr>
          <w:rFonts w:hint="eastAsia" w:ascii="黑体" w:hAnsi="黑体" w:eastAsia="黑体"/>
          <w:color w:val="auto"/>
          <w:sz w:val="32"/>
          <w:szCs w:val="32"/>
          <w:highlight w:val="none"/>
        </w:rPr>
      </w:pPr>
      <w:r>
        <w:rPr>
          <w:rFonts w:ascii="黑体" w:hAnsi="黑体" w:eastAsia="黑体"/>
          <w:b/>
          <w:color w:val="auto"/>
          <w:sz w:val="32"/>
          <w:szCs w:val="32"/>
          <w:highlight w:val="none"/>
        </w:rPr>
        <w:br w:type="page" w:clear="all"/>
      </w:r>
      <w:r>
        <w:rPr>
          <w:rFonts w:hint="eastAsia" w:ascii="黑体" w:hAnsi="黑体" w:eastAsia="黑体"/>
          <w:iCs/>
          <w:color w:val="auto"/>
          <w:sz w:val="32"/>
          <w:szCs w:val="32"/>
          <w:highlight w:val="none"/>
        </w:rPr>
        <w:t xml:space="preserve">十、</w:t>
      </w:r>
      <w:r>
        <w:rPr>
          <w:rFonts w:hint="eastAsia" w:ascii="黑体" w:hAnsi="黑体" w:eastAsia="黑体"/>
          <w:color w:val="auto"/>
          <w:sz w:val="32"/>
          <w:szCs w:val="32"/>
          <w:highlight w:val="none"/>
        </w:rPr>
        <w:t xml:space="preserve">残疾人福利性单位声明函</w:t>
      </w:r>
      <w:r>
        <w:rPr>
          <w:color w:val="auto"/>
          <w:highlight w:val="none"/>
        </w:rPr>
      </w:r>
      <w:r/>
    </w:p>
    <w:p>
      <w:pPr>
        <w:pStyle w:val="873"/>
        <w:jc w:val="center"/>
        <w:spacing w:line="360" w:lineRule="auto"/>
        <w:rPr>
          <w:rFonts w:hint="eastAsia"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 xml:space="preserve">残疾人福利性单位声明函</w:t>
      </w:r>
      <w:r>
        <w:rPr>
          <w:color w:val="auto"/>
          <w:highlight w:val="none"/>
        </w:rPr>
      </w:r>
      <w:r/>
    </w:p>
    <w:p>
      <w:pPr>
        <w:pStyle w:val="873"/>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auto"/>
          <w:sz w:val="24"/>
          <w:szCs w:val="24"/>
          <w:highlight w:val="none"/>
        </w:rPr>
        <w:t xml:space="preserve">参加</w:t>
      </w:r>
      <w:r>
        <w:rPr>
          <w:rFonts w:hint="eastAsia" w:ascii="宋体" w:hAnsi="宋体"/>
          <w:color w:val="auto"/>
          <w:sz w:val="24"/>
          <w:szCs w:val="24"/>
          <w:highlight w:val="none"/>
          <w:u w:val="single"/>
        </w:rPr>
        <w:t xml:space="preserve">XXXXXXXXXXXXXXXXXXXXXXXXX</w:t>
      </w:r>
      <w:r>
        <w:rPr>
          <w:rFonts w:hint="eastAsia" w:ascii="宋体" w:hAnsi="宋体"/>
          <w:color w:val="auto"/>
          <w:sz w:val="24"/>
          <w:szCs w:val="24"/>
          <w:highlight w:val="none"/>
        </w:rPr>
        <w:t xml:space="preserve">（单位名称）采购编号为</w:t>
      </w:r>
      <w:r>
        <w:rPr>
          <w:rFonts w:hint="eastAsia" w:ascii="宋体" w:hAnsi="宋体"/>
          <w:color w:val="auto"/>
          <w:sz w:val="24"/>
          <w:szCs w:val="24"/>
          <w:highlight w:val="none"/>
          <w:u w:val="single"/>
        </w:rPr>
        <w:t xml:space="preserve">XXXXXXXXXXXXXXXXXXXXXXXXX</w:t>
      </w:r>
      <w:r>
        <w:rPr>
          <w:rFonts w:hint="eastAsia" w:ascii="宋体" w:hAnsi="宋体"/>
          <w:color w:val="auto"/>
          <w:sz w:val="24"/>
          <w:szCs w:val="24"/>
          <w:highlight w:val="none"/>
        </w:rPr>
        <w:t xml:space="preserve">项目（采购包号：</w:t>
      </w:r>
      <w:r>
        <w:rPr>
          <w:rFonts w:hint="eastAsia" w:ascii="宋体" w:hAnsi="宋体"/>
          <w:color w:val="auto"/>
          <w:sz w:val="24"/>
          <w:szCs w:val="24"/>
          <w:highlight w:val="none"/>
          <w:u w:val="single"/>
        </w:rPr>
        <w:t xml:space="preserve">XXX</w:t>
      </w:r>
      <w:r>
        <w:rPr>
          <w:rFonts w:hint="eastAsia" w:ascii="宋体" w:hAnsi="宋体"/>
          <w:color w:val="auto"/>
          <w:sz w:val="24"/>
          <w:szCs w:val="24"/>
          <w:highlight w:val="none"/>
        </w:rPr>
        <w:t xml:space="preserve">）的采购活动</w:t>
      </w:r>
      <w:r>
        <w:rPr>
          <w:rFonts w:hint="eastAsia" w:ascii="宋体" w:hAnsi="宋体"/>
          <w:color w:val="auto"/>
          <w:sz w:val="24"/>
          <w:highlight w:val="none"/>
        </w:rPr>
        <w:t xml:space="preserve">，</w:t>
      </w:r>
      <w:r>
        <w:rPr>
          <w:rFonts w:hint="eastAsia" w:ascii="宋体" w:hAnsi="宋体"/>
          <w:color w:val="auto"/>
          <w:sz w:val="24"/>
          <w:szCs w:val="24"/>
          <w:highlight w:val="none"/>
        </w:rPr>
        <w:t xml:space="preserve">服务全部由本单位提供</w:t>
      </w:r>
      <w:r>
        <w:rPr>
          <w:rFonts w:hint="eastAsia" w:ascii="宋体" w:hAnsi="宋体"/>
          <w:color w:val="auto"/>
          <w:sz w:val="24"/>
          <w:highlight w:val="none"/>
        </w:rPr>
        <w:t xml:space="preserve">。</w:t>
      </w:r>
      <w:r>
        <w:rPr>
          <w:color w:val="auto"/>
          <w:highlight w:val="none"/>
        </w:rPr>
      </w:r>
      <w:r/>
    </w:p>
    <w:p>
      <w:pPr>
        <w:pStyle w:val="873"/>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本单位对上述声明的真实性负责，如有虚假，将依法承担相应责任。</w:t>
      </w:r>
      <w:r>
        <w:rPr>
          <w:color w:val="auto"/>
          <w:highlight w:val="none"/>
        </w:rPr>
      </w:r>
      <w:r/>
    </w:p>
    <w:p>
      <w:pPr>
        <w:pStyle w:val="951"/>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p>
      <w:pPr>
        <w:pStyle w:val="873"/>
        <w:spacing w:line="360" w:lineRule="auto"/>
        <w:rPr>
          <w:rFonts w:hint="eastAsia"/>
          <w:color w:val="auto"/>
          <w:highlight w:val="none"/>
        </w:rPr>
      </w:pPr>
      <w:r>
        <w:rPr>
          <w:rFonts w:hint="eastAsia"/>
          <w:color w:val="auto"/>
          <w:highlight w:val="none"/>
        </w:rPr>
      </w:r>
      <w:r>
        <w:rPr>
          <w:color w:val="auto"/>
          <w:highlight w:val="none"/>
        </w:rPr>
      </w:r>
      <w:r/>
    </w:p>
    <w:p>
      <w:pPr>
        <w:pStyle w:val="873"/>
        <w:ind w:right="180" w:firstLine="360"/>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                                           企业名称：（加盖电子公章）</w:t>
      </w:r>
      <w:r>
        <w:rPr>
          <w:color w:val="auto"/>
          <w:highlight w:val="none"/>
        </w:rPr>
      </w:r>
      <w:r/>
    </w:p>
    <w:p>
      <w:pPr>
        <w:pStyle w:val="873"/>
        <w:ind w:firstLine="6000"/>
        <w:spacing w:line="360" w:lineRule="auto"/>
        <w:rPr>
          <w:rFonts w:hint="eastAsia" w:ascii="宋体" w:hAnsi="宋体"/>
          <w:color w:val="auto"/>
          <w:sz w:val="24"/>
          <w:szCs w:val="24"/>
          <w:highlight w:val="none"/>
        </w:rPr>
      </w:pPr>
      <w:r>
        <w:rPr>
          <w:rFonts w:hint="eastAsia"/>
          <w:color w:val="auto"/>
          <w:sz w:val="24"/>
          <w:szCs w:val="24"/>
          <w:highlight w:val="none"/>
        </w:rPr>
        <w:t xml:space="preserve">日    期：</w:t>
      </w:r>
      <w:r>
        <w:rPr>
          <w:color w:val="auto"/>
          <w:highlight w:val="none"/>
        </w:rPr>
      </w:r>
      <w:r/>
    </w:p>
    <w:p>
      <w:pPr>
        <w:pStyle w:val="873"/>
        <w:ind w:firstLine="480"/>
        <w:spacing w:line="360" w:lineRule="auto"/>
        <w:rPr>
          <w:rFonts w:hint="eastAsia" w:ascii="宋体" w:hAnsi="宋体"/>
          <w:color w:val="auto"/>
          <w:sz w:val="24"/>
          <w:highlight w:val="none"/>
        </w:rPr>
      </w:pPr>
      <w:r>
        <w:rPr>
          <w:rFonts w:hint="eastAsia" w:ascii="宋体" w:hAnsi="宋体"/>
          <w:color w:val="auto"/>
          <w:sz w:val="24"/>
          <w:highlight w:val="none"/>
        </w:rPr>
      </w:r>
      <w:r>
        <w:rPr>
          <w:color w:val="auto"/>
          <w:highlight w:val="none"/>
        </w:rPr>
      </w:r>
      <w:r/>
    </w:p>
    <w:p>
      <w:pPr>
        <w:pStyle w:val="873"/>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备注：</w:t>
      </w:r>
      <w:r>
        <w:rPr>
          <w:color w:val="auto"/>
          <w:highlight w:val="none"/>
        </w:rPr>
      </w:r>
      <w:r/>
    </w:p>
    <w:p>
      <w:pPr>
        <w:pStyle w:val="873"/>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1.投标人如不提供此声明函，价格将不作相应扣除。</w:t>
      </w:r>
      <w:r>
        <w:rPr>
          <w:color w:val="auto"/>
          <w:highlight w:val="none"/>
        </w:rPr>
      </w:r>
      <w:r/>
    </w:p>
    <w:p>
      <w:pPr>
        <w:pStyle w:val="873"/>
        <w:ind w:firstLine="480"/>
        <w:spacing w:line="360" w:lineRule="auto"/>
        <w:rPr>
          <w:rFonts w:ascii="宋体" w:hAnsi="宋体"/>
          <w:color w:val="auto"/>
          <w:sz w:val="24"/>
          <w:highlight w:val="none"/>
        </w:rPr>
      </w:pPr>
      <w:r>
        <w:rPr>
          <w:rFonts w:hint="eastAsia" w:ascii="宋体" w:hAnsi="宋体"/>
          <w:color w:val="auto"/>
          <w:sz w:val="24"/>
          <w:highlight w:val="none"/>
        </w:rPr>
        <w:t xml:space="preserve">2.中标人为残疾人福利性单位的，此声明函将随中标结果同时公告，接受社会监督。</w:t>
      </w:r>
      <w:r>
        <w:rPr>
          <w:color w:val="auto"/>
          <w:highlight w:val="none"/>
        </w:rPr>
      </w:r>
      <w:r/>
    </w:p>
    <w:p>
      <w:pPr>
        <w:pStyle w:val="873"/>
        <w:ind w:firstLine="480"/>
        <w:spacing w:line="480" w:lineRule="exact"/>
        <w:rPr>
          <w:rFonts w:ascii="宋体" w:hAnsi="宋体"/>
          <w:color w:val="auto"/>
          <w:sz w:val="24"/>
          <w:highlight w:val="none"/>
        </w:rPr>
      </w:pPr>
      <w:r>
        <w:rPr>
          <w:rFonts w:ascii="宋体" w:hAnsi="宋体"/>
          <w:color w:val="auto"/>
          <w:sz w:val="24"/>
          <w:highlight w:val="none"/>
        </w:rPr>
      </w:r>
      <w:r>
        <w:rPr>
          <w:color w:val="auto"/>
          <w:highlight w:val="none"/>
        </w:rPr>
      </w:r>
      <w:r/>
    </w:p>
    <w:p>
      <w:pPr>
        <w:pStyle w:val="873"/>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rPr>
          <w:color w:val="auto"/>
          <w:highlight w:val="none"/>
        </w:rPr>
      </w:r>
      <w:r/>
    </w:p>
    <w:p>
      <w:pPr>
        <w:pStyle w:val="873"/>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rPr>
          <w:color w:val="auto"/>
          <w:highlight w:val="none"/>
        </w:rPr>
      </w:r>
      <w:r/>
    </w:p>
    <w:p>
      <w:pPr>
        <w:pStyle w:val="873"/>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rPr>
          <w:color w:val="auto"/>
          <w:highlight w:val="none"/>
        </w:rPr>
      </w:r>
      <w:r/>
    </w:p>
    <w:p>
      <w:pPr>
        <w:pStyle w:val="873"/>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rPr>
          <w:color w:val="auto"/>
          <w:highlight w:val="none"/>
        </w:rPr>
      </w:r>
      <w:r/>
    </w:p>
    <w:p>
      <w:pPr>
        <w:pStyle w:val="873"/>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rPr>
          <w:color w:val="auto"/>
          <w:highlight w:val="none"/>
        </w:rPr>
      </w:r>
      <w:r/>
    </w:p>
    <w:p>
      <w:pPr>
        <w:pStyle w:val="873"/>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rPr>
          <w:color w:val="auto"/>
          <w:highlight w:val="none"/>
        </w:rPr>
      </w:r>
      <w:r/>
    </w:p>
    <w:p>
      <w:pPr>
        <w:pStyle w:val="873"/>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rPr>
          <w:color w:val="auto"/>
          <w:highlight w:val="none"/>
        </w:rPr>
      </w:r>
      <w:r/>
    </w:p>
    <w:p>
      <w:pPr>
        <w:pStyle w:val="873"/>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rPr>
          <w:color w:val="auto"/>
          <w:highlight w:val="none"/>
        </w:rPr>
      </w:r>
      <w:r/>
    </w:p>
    <w:p>
      <w:pPr>
        <w:pStyle w:val="873"/>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rPr>
          <w:color w:val="auto"/>
          <w:highlight w:val="none"/>
        </w:rPr>
      </w:r>
      <w:r/>
    </w:p>
    <w:p>
      <w:pPr>
        <w:pStyle w:val="873"/>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rPr>
          <w:color w:val="auto"/>
          <w:highlight w:val="none"/>
        </w:rPr>
      </w:r>
      <w:r/>
    </w:p>
    <w:p>
      <w:pPr>
        <w:pStyle w:val="873"/>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rPr>
          <w:color w:val="auto"/>
          <w:highlight w:val="none"/>
        </w:rPr>
      </w:r>
      <w:r/>
    </w:p>
    <w:p>
      <w:pPr>
        <w:pStyle w:val="873"/>
        <w:jc w:val="left"/>
        <w:spacing w:line="360" w:lineRule="auto"/>
        <w:rPr>
          <w:rFonts w:hint="eastAsia" w:ascii="黑体" w:hAnsi="黑体" w:eastAsia="黑体"/>
          <w:iCs/>
          <w:color w:val="auto"/>
          <w:sz w:val="32"/>
          <w:szCs w:val="32"/>
          <w:highlight w:val="none"/>
        </w:rPr>
      </w:pPr>
      <w:r>
        <w:rPr>
          <w:rFonts w:hint="eastAsia" w:ascii="黑体" w:hAnsi="黑体" w:eastAsia="黑体"/>
          <w:iCs/>
          <w:color w:val="auto"/>
          <w:sz w:val="32"/>
          <w:szCs w:val="32"/>
          <w:highlight w:val="none"/>
        </w:rPr>
        <w:t xml:space="preserve">十一、联合体协议</w:t>
      </w:r>
      <w:r>
        <w:rPr>
          <w:color w:val="auto"/>
          <w:highlight w:val="none"/>
        </w:rPr>
      </w:r>
      <w:r/>
    </w:p>
    <w:p>
      <w:pPr>
        <w:pStyle w:val="873"/>
        <w:jc w:val="center"/>
        <w:spacing w:line="360" w:lineRule="auto"/>
        <w:rPr>
          <w:rFonts w:hint="eastAsia"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 xml:space="preserve">联合体协议</w:t>
      </w:r>
      <w:r>
        <w:rPr>
          <w:color w:val="auto"/>
          <w:highlight w:val="none"/>
        </w:rPr>
      </w:r>
      <w:r/>
    </w:p>
    <w:p>
      <w:pPr>
        <w:pStyle w:val="873"/>
        <w:spacing w:line="360" w:lineRule="auto"/>
        <w:rPr>
          <w:rFonts w:ascii="宋体" w:hAnsi="宋体"/>
          <w:color w:val="auto"/>
          <w:sz w:val="24"/>
          <w:highlight w:val="none"/>
        </w:rPr>
      </w:pPr>
      <w:r>
        <w:rPr>
          <w:rFonts w:hint="eastAsia" w:ascii="宋体" w:hAnsi="宋体"/>
          <w:color w:val="auto"/>
          <w:sz w:val="24"/>
          <w:highlight w:val="none"/>
        </w:rPr>
        <w:t xml:space="preserve">（联合体中各供应商全称）在此达成以下协议：</w:t>
      </w:r>
      <w:r>
        <w:rPr>
          <w:color w:val="auto"/>
          <w:highlight w:val="none"/>
        </w:rPr>
      </w:r>
      <w:r/>
    </w:p>
    <w:p>
      <w:pPr>
        <w:pStyle w:val="873"/>
        <w:ind w:firstLine="645"/>
        <w:spacing w:line="360" w:lineRule="auto"/>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.我们</w:t>
      </w:r>
      <w:r>
        <w:rPr>
          <w:rFonts w:hint="eastAsia" w:ascii="宋体" w:hAnsi="宋体"/>
          <w:color w:val="auto"/>
          <w:sz w:val="24"/>
          <w:highlight w:val="none"/>
          <w:u w:val="single"/>
        </w:rPr>
        <w:t xml:space="preserve"> （供应商1），（供应商2） ，</w:t>
      </w:r>
      <w:r>
        <w:rPr>
          <w:rFonts w:ascii="宋体" w:hAnsi="宋体"/>
          <w:color w:val="auto"/>
          <w:sz w:val="24"/>
          <w:highlight w:val="none"/>
          <w:u w:val="single"/>
        </w:rPr>
        <w:t xml:space="preserve">……</w:t>
      </w:r>
      <w:r>
        <w:rPr>
          <w:rFonts w:hint="eastAsia" w:ascii="宋体" w:hAnsi="宋体"/>
          <w:color w:val="auto"/>
          <w:sz w:val="24"/>
          <w:highlight w:val="none"/>
        </w:rPr>
        <w:t xml:space="preserve">自愿组成联合体，</w:t>
      </w:r>
      <w:r>
        <w:rPr>
          <w:rFonts w:hint="eastAsia" w:ascii="宋体" w:hAnsi="宋体"/>
          <w:color w:val="auto"/>
          <w:sz w:val="24"/>
          <w:szCs w:val="24"/>
          <w:highlight w:val="none"/>
        </w:rPr>
        <w:t xml:space="preserve">参加</w:t>
      </w:r>
      <w:r>
        <w:rPr>
          <w:rFonts w:hint="eastAsia" w:ascii="宋体" w:hAnsi="宋体"/>
          <w:color w:val="auto"/>
          <w:sz w:val="24"/>
          <w:szCs w:val="24"/>
          <w:highlight w:val="none"/>
          <w:u w:val="single"/>
        </w:rPr>
        <w:t xml:space="preserve">XXXXXXXXXXXXXXXXXXXXXXXXX</w:t>
      </w:r>
      <w:r>
        <w:rPr>
          <w:rFonts w:hint="eastAsia" w:ascii="宋体" w:hAnsi="宋体"/>
          <w:color w:val="auto"/>
          <w:sz w:val="24"/>
          <w:szCs w:val="24"/>
          <w:highlight w:val="none"/>
        </w:rPr>
        <w:t xml:space="preserve">（单位名称）采购编号为</w:t>
      </w:r>
      <w:r>
        <w:rPr>
          <w:rFonts w:hint="eastAsia" w:ascii="宋体" w:hAnsi="宋体"/>
          <w:color w:val="auto"/>
          <w:sz w:val="24"/>
          <w:szCs w:val="24"/>
          <w:highlight w:val="none"/>
          <w:u w:val="single"/>
        </w:rPr>
        <w:t xml:space="preserve">XXXXXXXXXXXXXXXXXXXXXXXXX</w:t>
      </w:r>
      <w:r>
        <w:rPr>
          <w:rFonts w:hint="eastAsia" w:ascii="宋体" w:hAnsi="宋体"/>
          <w:color w:val="auto"/>
          <w:sz w:val="24"/>
          <w:szCs w:val="24"/>
          <w:highlight w:val="none"/>
        </w:rPr>
        <w:t xml:space="preserve">项目（采购包号：</w:t>
      </w:r>
      <w:r>
        <w:rPr>
          <w:rFonts w:hint="eastAsia" w:ascii="宋体" w:hAnsi="宋体"/>
          <w:color w:val="auto"/>
          <w:sz w:val="24"/>
          <w:szCs w:val="24"/>
          <w:highlight w:val="none"/>
          <w:u w:val="single"/>
        </w:rPr>
        <w:t xml:space="preserve">XXX</w:t>
      </w:r>
      <w:r>
        <w:rPr>
          <w:rFonts w:hint="eastAsia" w:ascii="宋体" w:hAnsi="宋体"/>
          <w:color w:val="auto"/>
          <w:sz w:val="24"/>
          <w:szCs w:val="24"/>
          <w:highlight w:val="none"/>
        </w:rPr>
        <w:t xml:space="preserve">）的采购活动</w:t>
      </w:r>
      <w:r>
        <w:rPr>
          <w:rFonts w:hint="eastAsia" w:ascii="宋体" w:hAnsi="宋体"/>
          <w:color w:val="auto"/>
          <w:sz w:val="24"/>
          <w:highlight w:val="none"/>
        </w:rPr>
        <w:t xml:space="preserve">，并指定</w:t>
      </w:r>
      <w:r>
        <w:rPr>
          <w:rFonts w:hint="eastAsia" w:ascii="宋体" w:hAnsi="宋体"/>
          <w:color w:val="auto"/>
          <w:sz w:val="24"/>
          <w:szCs w:val="24"/>
          <w:highlight w:val="none"/>
          <w:u w:val="single"/>
        </w:rPr>
        <w:t xml:space="preserve">XXXXXXXXXXXXXXXXXXX</w:t>
      </w:r>
      <w:r>
        <w:rPr>
          <w:rFonts w:hint="eastAsia" w:ascii="宋体" w:hAnsi="宋体"/>
          <w:color w:val="auto"/>
          <w:sz w:val="24"/>
          <w:highlight w:val="none"/>
        </w:rPr>
        <w:t xml:space="preserve">（供应商名称）为牵头单位。</w:t>
      </w:r>
      <w:r>
        <w:rPr>
          <w:color w:val="auto"/>
          <w:highlight w:val="none"/>
        </w:rPr>
      </w:r>
      <w:r/>
    </w:p>
    <w:p>
      <w:pPr>
        <w:pStyle w:val="873"/>
        <w:ind w:firstLine="645"/>
        <w:spacing w:line="360" w:lineRule="auto"/>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.若我们联合中标，</w:t>
      </w:r>
      <w:r>
        <w:rPr>
          <w:rFonts w:hint="eastAsia" w:ascii="宋体" w:hAnsi="宋体"/>
          <w:color w:val="auto"/>
          <w:sz w:val="24"/>
          <w:szCs w:val="24"/>
          <w:highlight w:val="none"/>
          <w:u w:val="single"/>
        </w:rPr>
        <w:t xml:space="preserve">XXXXXXXXXXXXXXXXXXX</w:t>
      </w:r>
      <w:r>
        <w:rPr>
          <w:rFonts w:hint="eastAsia" w:ascii="宋体" w:hAnsi="宋体"/>
          <w:color w:val="auto"/>
          <w:sz w:val="24"/>
          <w:highlight w:val="none"/>
        </w:rPr>
        <w:t xml:space="preserve">（供应商名称）实施项目中</w:t>
      </w:r>
      <w:r>
        <w:rPr>
          <w:rFonts w:hint="eastAsia" w:ascii="宋体" w:hAnsi="宋体"/>
          <w:color w:val="auto"/>
          <w:sz w:val="24"/>
          <w:highlight w:val="none"/>
          <w:u w:val="single"/>
        </w:rPr>
        <w:t xml:space="preserve">XXXXXXXXX</w:t>
      </w:r>
      <w:r>
        <w:rPr>
          <w:rFonts w:hint="eastAsia" w:ascii="宋体" w:hAnsi="宋体"/>
          <w:color w:val="auto"/>
          <w:sz w:val="24"/>
          <w:highlight w:val="none"/>
        </w:rPr>
        <w:t xml:space="preserve">（工作内容）部分工作，并承担相应的责任；</w:t>
      </w:r>
      <w:r>
        <w:rPr>
          <w:rFonts w:hint="eastAsia" w:ascii="宋体" w:hAnsi="宋体"/>
          <w:color w:val="auto"/>
          <w:sz w:val="24"/>
          <w:szCs w:val="24"/>
          <w:highlight w:val="none"/>
          <w:u w:val="single"/>
        </w:rPr>
        <w:t xml:space="preserve">XXXXXXXXXXXXXXXXXXX</w:t>
      </w:r>
      <w:r>
        <w:rPr>
          <w:rFonts w:hint="eastAsia" w:ascii="宋体" w:hAnsi="宋体"/>
          <w:color w:val="auto"/>
          <w:sz w:val="24"/>
          <w:highlight w:val="none"/>
        </w:rPr>
        <w:t xml:space="preserve">（供应商名称）实施项目中</w:t>
      </w:r>
      <w:r>
        <w:rPr>
          <w:rFonts w:hint="eastAsia" w:ascii="宋体" w:hAnsi="宋体"/>
          <w:color w:val="auto"/>
          <w:sz w:val="24"/>
          <w:highlight w:val="none"/>
          <w:u w:val="single"/>
        </w:rPr>
        <w:t xml:space="preserve">XXXXXXXXX</w:t>
      </w:r>
      <w:r>
        <w:rPr>
          <w:rFonts w:hint="eastAsia" w:ascii="宋体" w:hAnsi="宋体"/>
          <w:color w:val="auto"/>
          <w:sz w:val="24"/>
          <w:highlight w:val="none"/>
        </w:rPr>
        <w:t xml:space="preserve">（工作内容）部分工作，并承担相应的责任；……。（注：需明确联合体中各供应商所承担的工作和相应的责任）。</w:t>
      </w:r>
      <w:r>
        <w:rPr>
          <w:color w:val="auto"/>
          <w:highlight w:val="none"/>
        </w:rPr>
      </w:r>
      <w:r/>
    </w:p>
    <w:p>
      <w:pPr>
        <w:pStyle w:val="873"/>
        <w:ind w:firstLine="645"/>
        <w:spacing w:line="360" w:lineRule="auto"/>
        <w:rPr>
          <w:rFonts w:hint="eastAsia"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.其中，</w:t>
      </w:r>
      <w:r>
        <w:rPr>
          <w:rFonts w:hint="eastAsia" w:ascii="宋体" w:hAnsi="宋体"/>
          <w:color w:val="auto"/>
          <w:sz w:val="24"/>
          <w:highlight w:val="none"/>
          <w:u w:val="single"/>
        </w:rPr>
        <w:t xml:space="preserve">XXXXXXXXX</w:t>
      </w:r>
      <w:r>
        <w:rPr>
          <w:rFonts w:hint="eastAsia" w:ascii="宋体" w:hAnsi="宋体"/>
          <w:color w:val="auto"/>
          <w:sz w:val="24"/>
          <w:highlight w:val="none"/>
        </w:rPr>
        <w:t xml:space="preserve">（企业全称）为</w:t>
      </w:r>
      <w:r>
        <w:rPr>
          <w:rFonts w:ascii="Wingdings" w:hAnsi="Wingdings" w:eastAsia="Wingdings" w:cs="Wingdings"/>
          <w:color w:val="auto"/>
          <w:sz w:val="24"/>
          <w:szCs w:val="24"/>
          <w:highlight w:val="none"/>
        </w:rPr>
        <w:t xml:space="preserve">¨</w:t>
      </w:r>
      <w:r>
        <w:rPr>
          <w:rFonts w:hint="eastAsia" w:ascii="宋体" w:hAnsi="宋体"/>
          <w:color w:val="auto"/>
          <w:sz w:val="24"/>
          <w:highlight w:val="none"/>
        </w:rPr>
        <w:t xml:space="preserve">小型、微型企业 </w:t>
      </w:r>
      <w:r>
        <w:rPr>
          <w:rFonts w:ascii="Wingdings" w:hAnsi="Wingdings" w:eastAsia="Wingdings" w:cs="Wingdings"/>
          <w:color w:val="auto"/>
          <w:sz w:val="24"/>
          <w:szCs w:val="24"/>
          <w:highlight w:val="none"/>
        </w:rPr>
        <w:t xml:space="preserve">¨</w:t>
      </w:r>
      <w:r>
        <w:rPr>
          <w:rFonts w:hint="eastAsia" w:ascii="宋体" w:hAnsi="宋体"/>
          <w:color w:val="auto"/>
          <w:sz w:val="24"/>
          <w:highlight w:val="none"/>
        </w:rPr>
        <w:t xml:space="preserve">残疾人福利性单位 </w:t>
      </w:r>
      <w:r>
        <w:rPr>
          <w:rFonts w:ascii="Wingdings" w:hAnsi="Wingdings" w:eastAsia="Wingdings" w:cs="Wingdings"/>
          <w:color w:val="auto"/>
          <w:sz w:val="24"/>
          <w:szCs w:val="24"/>
          <w:highlight w:val="none"/>
        </w:rPr>
        <w:t xml:space="preserve">¨</w:t>
      </w:r>
      <w:r>
        <w:rPr>
          <w:rFonts w:hint="eastAsia" w:ascii="宋体" w:hAnsi="宋体"/>
          <w:color w:val="auto"/>
          <w:sz w:val="24"/>
          <w:highlight w:val="none"/>
        </w:rPr>
        <w:t xml:space="preserve">监狱企业，且我们约定该单位所承担的合同金额将占本项目合同总金额的</w:t>
      </w:r>
      <w:r>
        <w:rPr>
          <w:rFonts w:ascii="宋体" w:hAnsi="宋体"/>
          <w:color w:val="auto"/>
          <w:sz w:val="24"/>
          <w:highlight w:val="none"/>
          <w:u w:val="single"/>
        </w:rPr>
        <w:t xml:space="preserve">   </w:t>
      </w:r>
      <w:r>
        <w:rPr>
          <w:rFonts w:ascii="宋体" w:hAnsi="宋体"/>
          <w:color w:val="auto"/>
          <w:sz w:val="24"/>
          <w:highlight w:val="none"/>
        </w:rPr>
        <w:t xml:space="preserve">%</w:t>
      </w:r>
      <w:r>
        <w:rPr>
          <w:rFonts w:hint="eastAsia" w:ascii="宋体" w:hAnsi="宋体"/>
          <w:color w:val="auto"/>
          <w:sz w:val="24"/>
          <w:highlight w:val="none"/>
        </w:rPr>
        <w:t xml:space="preserve">。</w:t>
      </w:r>
      <w:r>
        <w:rPr>
          <w:color w:val="auto"/>
          <w:highlight w:val="none"/>
        </w:rPr>
      </w:r>
      <w:r/>
    </w:p>
    <w:p>
      <w:pPr>
        <w:pStyle w:val="873"/>
        <w:ind w:firstLine="645"/>
        <w:spacing w:line="360" w:lineRule="auto"/>
        <w:rPr>
          <w:rFonts w:hint="eastAsia" w:ascii="宋体" w:hAnsi="宋体"/>
          <w:color w:val="auto"/>
          <w:sz w:val="24"/>
          <w:highlight w:val="none"/>
        </w:rPr>
      </w:pPr>
      <w:r>
        <w:rPr>
          <w:rFonts w:hint="eastAsia" w:ascii="宋体" w:hAnsi="宋体"/>
          <w:color w:val="auto"/>
          <w:sz w:val="24"/>
          <w:highlight w:val="none"/>
        </w:rPr>
      </w:r>
      <w:r>
        <w:rPr>
          <w:color w:val="auto"/>
          <w:highlight w:val="none"/>
        </w:rPr>
      </w:r>
      <w:r/>
    </w:p>
    <w:p>
      <w:pPr>
        <w:pStyle w:val="873"/>
        <w:ind w:firstLine="645"/>
        <w:spacing w:line="360" w:lineRule="auto"/>
        <w:rPr>
          <w:rFonts w:hint="eastAsia"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                       </w:t>
      </w:r>
      <w:r>
        <w:rPr>
          <w:color w:val="auto"/>
          <w:highlight w:val="none"/>
        </w:rPr>
      </w:r>
      <w:r/>
    </w:p>
    <w:p>
      <w:pPr>
        <w:pStyle w:val="873"/>
        <w:ind w:firstLine="645"/>
        <w:jc w:val="right"/>
        <w:spacing w:line="360" w:lineRule="auto"/>
        <w:rPr>
          <w:rFonts w:ascii="宋体" w:hAnsi="宋体"/>
          <w:color w:val="auto"/>
          <w:sz w:val="24"/>
          <w:highlight w:val="none"/>
        </w:rPr>
      </w:pPr>
      <w:r>
        <w:rPr>
          <w:rFonts w:hint="eastAsia" w:ascii="宋体" w:hAnsi="宋体"/>
          <w:color w:val="auto"/>
          <w:sz w:val="24"/>
          <w:highlight w:val="none"/>
        </w:rPr>
        <w:t xml:space="preserve">联合体中各供应商全称：</w:t>
      </w:r>
      <w:r>
        <w:rPr>
          <w:rFonts w:hint="eastAsia" w:ascii="宋体" w:hAnsi="宋体"/>
          <w:color w:val="auto"/>
          <w:sz w:val="24"/>
          <w:szCs w:val="24"/>
          <w:highlight w:val="none"/>
        </w:rPr>
        <w:t xml:space="preserve">（加盖电子公章）</w:t>
      </w:r>
      <w:r>
        <w:rPr>
          <w:rFonts w:ascii="宋体" w:hAnsi="宋体"/>
          <w:color w:val="auto"/>
          <w:sz w:val="24"/>
          <w:highlight w:val="none"/>
        </w:rPr>
        <w:t xml:space="preserve">    </w:t>
      </w:r>
      <w:r>
        <w:rPr>
          <w:color w:val="auto"/>
          <w:highlight w:val="none"/>
        </w:rPr>
      </w:r>
      <w:r/>
    </w:p>
    <w:p>
      <w:pPr>
        <w:pStyle w:val="873"/>
        <w:ind w:firstLine="5280"/>
        <w:spacing w:line="360" w:lineRule="auto"/>
        <w:rPr>
          <w:rFonts w:hint="eastAsia" w:ascii="宋体" w:hAnsi="宋体"/>
          <w:color w:val="auto"/>
          <w:sz w:val="24"/>
          <w:szCs w:val="24"/>
          <w:highlight w:val="none"/>
        </w:rPr>
      </w:pPr>
      <w:r>
        <w:rPr>
          <w:rFonts w:hint="eastAsia"/>
          <w:color w:val="auto"/>
          <w:sz w:val="24"/>
          <w:szCs w:val="24"/>
          <w:highlight w:val="none"/>
        </w:rPr>
        <w:t xml:space="preserve">日   期：</w:t>
      </w:r>
      <w:r>
        <w:rPr>
          <w:color w:val="auto"/>
          <w:highlight w:val="none"/>
        </w:rPr>
      </w:r>
      <w:r/>
    </w:p>
    <w:p>
      <w:pPr>
        <w:pStyle w:val="873"/>
        <w:ind w:firstLine="480"/>
        <w:spacing w:line="360" w:lineRule="auto"/>
        <w:rPr>
          <w:rFonts w:hint="eastAsia" w:ascii="宋体" w:hAnsi="宋体"/>
          <w:color w:val="auto"/>
          <w:sz w:val="24"/>
          <w:highlight w:val="none"/>
        </w:rPr>
      </w:pPr>
      <w:r>
        <w:rPr>
          <w:rFonts w:hint="eastAsia" w:ascii="宋体" w:hAnsi="宋体"/>
          <w:color w:val="auto"/>
          <w:sz w:val="24"/>
          <w:highlight w:val="none"/>
        </w:rPr>
      </w:r>
      <w:r>
        <w:rPr>
          <w:color w:val="auto"/>
          <w:highlight w:val="none"/>
        </w:rPr>
      </w:r>
      <w:r/>
    </w:p>
    <w:p>
      <w:pPr>
        <w:pStyle w:val="873"/>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备注：</w:t>
      </w:r>
      <w:r>
        <w:rPr>
          <w:color w:val="auto"/>
          <w:highlight w:val="none"/>
        </w:rPr>
      </w:r>
      <w:r/>
    </w:p>
    <w:p>
      <w:pPr>
        <w:pStyle w:val="873"/>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1.牵头单位必须为联合体成员。</w:t>
      </w:r>
      <w:r>
        <w:rPr>
          <w:color w:val="auto"/>
          <w:highlight w:val="none"/>
        </w:rPr>
      </w:r>
      <w:r/>
    </w:p>
    <w:p>
      <w:pPr>
        <w:pStyle w:val="873"/>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2.在所属企业类型前的</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内打“</w:t>
      </w:r>
      <w:r>
        <w:rPr>
          <w:rFonts w:ascii="Arial" w:hAnsi="Arial" w:cs="Arial"/>
          <w:color w:val="auto"/>
          <w:sz w:val="24"/>
          <w:szCs w:val="24"/>
          <w:highlight w:val="none"/>
        </w:rPr>
        <w:t xml:space="preserve">√</w:t>
      </w:r>
      <w:r>
        <w:rPr>
          <w:rFonts w:hint="eastAsia" w:ascii="宋体" w:hAnsi="宋体"/>
          <w:color w:val="auto"/>
          <w:sz w:val="24"/>
          <w:szCs w:val="24"/>
          <w:highlight w:val="none"/>
        </w:rPr>
        <w:t xml:space="preserve">”。</w:t>
      </w:r>
      <w:r>
        <w:rPr>
          <w:color w:val="auto"/>
          <w:highlight w:val="none"/>
        </w:rPr>
      </w:r>
      <w:r/>
    </w:p>
    <w:p>
      <w:pPr>
        <w:pStyle w:val="873"/>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3.除另有说明外，本招标文件要求加盖电子公章之处，加盖牵头单位的电子公章即可。</w:t>
      </w:r>
      <w:r>
        <w:rPr>
          <w:color w:val="auto"/>
          <w:highlight w:val="none"/>
        </w:rPr>
      </w:r>
      <w:r/>
    </w:p>
    <w:p>
      <w:pPr>
        <w:pStyle w:val="942"/>
        <w:ind w:firstLine="480"/>
        <w:rPr>
          <w:rFonts w:hint="eastAsia"/>
          <w:color w:val="auto"/>
          <w:sz w:val="24"/>
          <w:highlight w:val="none"/>
        </w:rPr>
      </w:pPr>
      <w:r>
        <w:rPr>
          <w:rFonts w:hint="eastAsia"/>
          <w:color w:val="auto"/>
          <w:sz w:val="24"/>
          <w:highlight w:val="none"/>
        </w:rPr>
      </w:r>
      <w:r>
        <w:rPr>
          <w:color w:val="auto"/>
          <w:highlight w:val="none"/>
        </w:rPr>
      </w:r>
      <w:r/>
    </w:p>
    <w:p>
      <w:pPr>
        <w:pStyle w:val="873"/>
        <w:rPr>
          <w:rFonts w:hint="eastAsia"/>
          <w:color w:val="auto"/>
          <w:highlight w:val="none"/>
        </w:rPr>
      </w:pPr>
      <w:r>
        <w:rPr>
          <w:rFonts w:hint="eastAsia"/>
          <w:color w:val="auto"/>
          <w:highlight w:val="none"/>
        </w:rPr>
      </w:r>
      <w:r>
        <w:rPr>
          <w:color w:val="auto"/>
          <w:highlight w:val="none"/>
        </w:rPr>
      </w:r>
      <w:r/>
    </w:p>
    <w:p>
      <w:pPr>
        <w:pStyle w:val="873"/>
        <w:ind w:firstLine="645"/>
        <w:spacing w:line="560" w:lineRule="exact"/>
        <w:rPr>
          <w:rFonts w:ascii="宋体" w:hAnsi="宋体"/>
          <w:color w:val="auto"/>
          <w:sz w:val="24"/>
          <w:highlight w:val="none"/>
        </w:rPr>
      </w:pPr>
      <w:r>
        <w:rPr>
          <w:rFonts w:ascii="宋体" w:hAnsi="宋体"/>
          <w:color w:val="auto"/>
          <w:sz w:val="24"/>
          <w:highlight w:val="none"/>
        </w:rPr>
      </w:r>
      <w:r>
        <w:rPr>
          <w:color w:val="auto"/>
          <w:highlight w:val="none"/>
        </w:rPr>
      </w:r>
      <w:r/>
    </w:p>
    <w:p>
      <w:pPr>
        <w:pStyle w:val="873"/>
        <w:ind w:firstLine="645"/>
        <w:spacing w:line="560" w:lineRule="exact"/>
        <w:rPr>
          <w:rFonts w:hint="eastAsia" w:ascii="宋体" w:hAnsi="宋体"/>
          <w:color w:val="auto"/>
          <w:sz w:val="24"/>
          <w:highlight w:val="none"/>
        </w:rPr>
      </w:pPr>
      <w:r>
        <w:rPr>
          <w:rFonts w:hint="eastAsia" w:ascii="宋体" w:hAnsi="宋体"/>
          <w:color w:val="auto"/>
          <w:sz w:val="24"/>
          <w:highlight w:val="none"/>
        </w:rPr>
      </w:r>
      <w:r>
        <w:rPr>
          <w:color w:val="auto"/>
          <w:highlight w:val="none"/>
        </w:rPr>
      </w:r>
      <w:r/>
    </w:p>
    <w:p>
      <w:pPr>
        <w:pStyle w:val="951"/>
        <w:rPr>
          <w:rFonts w:hint="eastAsia" w:ascii="宋体" w:hAnsi="宋体"/>
          <w:color w:val="auto"/>
          <w:sz w:val="24"/>
          <w:highlight w:val="none"/>
        </w:rPr>
      </w:pPr>
      <w:r>
        <w:rPr>
          <w:rFonts w:hint="eastAsia" w:ascii="宋体" w:hAnsi="宋体"/>
          <w:color w:val="auto"/>
          <w:sz w:val="24"/>
          <w:highlight w:val="none"/>
        </w:rPr>
      </w:r>
      <w:r>
        <w:rPr>
          <w:color w:val="auto"/>
          <w:highlight w:val="none"/>
        </w:rPr>
      </w:r>
      <w:r/>
    </w:p>
    <w:p>
      <w:pPr>
        <w:pStyle w:val="873"/>
        <w:jc w:val="left"/>
        <w:spacing w:line="360" w:lineRule="auto"/>
        <w:rPr>
          <w:rFonts w:hint="eastAsia" w:ascii="宋体" w:hAnsi="宋体"/>
          <w:color w:val="auto"/>
          <w:sz w:val="24"/>
          <w:highlight w:val="none"/>
        </w:rPr>
      </w:pPr>
      <w:r>
        <w:rPr>
          <w:rFonts w:hint="eastAsia" w:ascii="方正小标宋简体" w:hAnsi="方正小标宋简体" w:eastAsia="方正小标宋简体" w:cs="方正小标宋简体"/>
          <w:color w:val="auto"/>
          <w:sz w:val="32"/>
          <w:szCs w:val="32"/>
          <w:highlight w:val="none"/>
        </w:rPr>
        <w:br w:type="page" w:clear="all"/>
      </w:r>
      <w:r>
        <w:rPr>
          <w:rFonts w:hint="eastAsia" w:ascii="黑体" w:hAnsi="黑体" w:eastAsia="黑体"/>
          <w:color w:val="auto"/>
          <w:sz w:val="32"/>
          <w:szCs w:val="32"/>
          <w:highlight w:val="none"/>
        </w:rPr>
        <w:t xml:space="preserve">十二、关于符合本国产品标准的声明函</w:t>
      </w:r>
      <w:r>
        <w:rPr>
          <w:color w:val="auto"/>
          <w:highlight w:val="none"/>
        </w:rPr>
      </w:r>
      <w:r/>
    </w:p>
    <w:p>
      <w:pPr>
        <w:pStyle w:val="873"/>
        <w:jc w:val="center"/>
        <w:spacing w:line="360" w:lineRule="auto"/>
        <w:rPr>
          <w:rFonts w:hint="eastAsia" w:ascii="方正小标宋简体" w:hAnsi="方正小标宋简体" w:eastAsia="方正小标宋简体" w:cs="方正小标宋简体"/>
          <w:color w:val="auto"/>
          <w:sz w:val="32"/>
          <w:szCs w:val="32"/>
          <w:highlight w:val="none"/>
        </w:rPr>
      </w:pPr>
      <w:r>
        <w:rPr>
          <w:rFonts w:hint="eastAsia" w:ascii="微软雅黑" w:hAnsi="微软雅黑" w:eastAsia="微软雅黑" w:cs="微软雅黑"/>
          <w:color w:val="auto"/>
          <w:sz w:val="32"/>
          <w:szCs w:val="32"/>
          <w:highlight w:val="none"/>
          <w:shd w:val="clear" w:color="auto" w:fill="ffffff"/>
        </w:rPr>
        <w:t xml:space="preserve">（</w:t>
      </w:r>
      <w:r>
        <w:rPr>
          <w:rFonts w:ascii="微软雅黑" w:hAnsi="微软雅黑" w:eastAsia="微软雅黑" w:cs="微软雅黑"/>
          <w:color w:val="auto"/>
          <w:sz w:val="32"/>
          <w:szCs w:val="32"/>
          <w:highlight w:val="none"/>
          <w:shd w:val="clear" w:color="auto" w:fill="ffffff"/>
        </w:rPr>
        <w:t xml:space="preserve">如有，可上传至“电子投标文件格式-企业报价折扣证明”）</w:t>
      </w:r>
      <w:r>
        <w:rPr>
          <w:color w:val="auto"/>
          <w:highlight w:val="none"/>
        </w:rPr>
      </w:r>
      <w:r/>
    </w:p>
    <w:p>
      <w:pPr>
        <w:pStyle w:val="873"/>
        <w:jc w:val="center"/>
        <w:spacing w:line="360" w:lineRule="auto"/>
        <w:rPr>
          <w:rFonts w:hint="eastAsia"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 xml:space="preserve">关于符合本国产品标准的声明函（采购包号：**）</w:t>
      </w:r>
      <w:r>
        <w:rPr>
          <w:color w:val="auto"/>
          <w:highlight w:val="none"/>
        </w:rPr>
      </w:r>
      <w:r/>
    </w:p>
    <w:p>
      <w:pPr>
        <w:pStyle w:val="936"/>
        <w:ind w:firstLine="420"/>
        <w:spacing w:before="24" w:beforeAutospacing="0" w:after="24" w:afterAutospacing="0" w:line="360" w:lineRule="auto"/>
        <w:shd w:val="clear" w:color="auto" w:fill="ffffff"/>
        <w:rPr>
          <w:rFonts w:hint="eastAsia"/>
          <w:color w:val="auto"/>
          <w:highlight w:val="none"/>
        </w:rPr>
      </w:pPr>
      <w:r>
        <w:rPr>
          <w:rFonts w:hint="eastAsia"/>
          <w:color w:val="auto"/>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color w:val="auto"/>
          <w:highlight w:val="none"/>
        </w:rPr>
      </w:r>
      <w:r/>
    </w:p>
    <w:p>
      <w:pPr>
        <w:pStyle w:val="936"/>
        <w:ind w:firstLine="420"/>
        <w:spacing w:before="24" w:beforeAutospacing="0" w:after="24" w:afterAutospacing="0" w:line="360" w:lineRule="auto"/>
        <w:shd w:val="clear" w:color="auto" w:fill="ffffff"/>
        <w:rPr>
          <w:rFonts w:hint="eastAsia"/>
          <w:color w:val="auto"/>
          <w:highlight w:val="none"/>
        </w:rPr>
      </w:pPr>
      <w:r>
        <w:rPr>
          <w:rFonts w:hint="eastAsia"/>
          <w:color w:val="auto"/>
          <w:highlight w:val="none"/>
          <w:shd w:val="clear" w:color="auto" w:fill="ffffff"/>
        </w:rPr>
        <w:t xml:space="preserve">1.</w:t>
      </w:r>
      <w:r>
        <w:rPr>
          <w:rStyle w:val="948"/>
          <w:rFonts w:hint="eastAsia"/>
          <w:i w:val="0"/>
          <w:color w:val="auto"/>
          <w:highlight w:val="none"/>
          <w:u w:val="single"/>
          <w:shd w:val="clear" w:color="auto" w:fill="ffffff"/>
        </w:rPr>
        <w:t xml:space="preserve">（产品名称1）</w:t>
      </w:r>
      <w:r>
        <w:rPr>
          <w:rStyle w:val="948"/>
          <w:rFonts w:hint="eastAsia"/>
          <w:i w:val="0"/>
          <w:color w:val="auto"/>
          <w:highlight w:val="none"/>
          <w:shd w:val="clear" w:color="auto" w:fill="ffffff"/>
          <w:vertAlign w:val="superscript"/>
        </w:rPr>
        <w:t xml:space="preserve">1</w:t>
      </w:r>
      <w:r>
        <w:rPr>
          <w:rFonts w:hint="eastAsia"/>
          <w:color w:val="auto"/>
          <w:highlight w:val="none"/>
          <w:shd w:val="clear" w:color="auto" w:fill="ffffff"/>
        </w:rPr>
        <w:t xml:space="preserve">，</w:t>
      </w:r>
      <w:r>
        <w:rPr>
          <w:rFonts w:hint="eastAsia"/>
          <w:color w:val="auto"/>
          <w:highlight w:val="none"/>
          <w:u w:val="single"/>
          <w:shd w:val="clear" w:color="auto" w:fill="ffffff"/>
        </w:rPr>
        <w:t xml:space="preserve">生产厂为</w:t>
      </w:r>
      <w:r>
        <w:rPr>
          <w:rStyle w:val="948"/>
          <w:rFonts w:hint="eastAsia"/>
          <w:i w:val="0"/>
          <w:color w:val="auto"/>
          <w:highlight w:val="none"/>
          <w:u w:val="single"/>
          <w:shd w:val="clear" w:color="auto" w:fill="ffffff"/>
        </w:rPr>
        <w:t xml:space="preserve">（厂名）</w:t>
      </w:r>
      <w:r>
        <w:rPr>
          <w:rStyle w:val="948"/>
          <w:rFonts w:hint="eastAsia"/>
          <w:i w:val="0"/>
          <w:color w:val="auto"/>
          <w:highlight w:val="none"/>
          <w:shd w:val="clear" w:color="auto" w:fill="ffffff"/>
          <w:vertAlign w:val="superscript"/>
        </w:rPr>
        <w:t xml:space="preserve">2</w:t>
      </w:r>
      <w:r>
        <w:rPr>
          <w:rFonts w:hint="eastAsia"/>
          <w:color w:val="auto"/>
          <w:highlight w:val="none"/>
          <w:shd w:val="clear" w:color="auto" w:fill="ffffff"/>
        </w:rPr>
        <w:t xml:space="preserve">，厂址为</w:t>
      </w:r>
      <w:r>
        <w:rPr>
          <w:rStyle w:val="948"/>
          <w:rFonts w:hint="eastAsia"/>
          <w:i w:val="0"/>
          <w:color w:val="auto"/>
          <w:highlight w:val="none"/>
          <w:u w:val="single"/>
          <w:shd w:val="clear" w:color="auto" w:fill="ffffff"/>
        </w:rPr>
        <w:t xml:space="preserve">（生产厂址）</w:t>
      </w:r>
      <w:r>
        <w:rPr>
          <w:rFonts w:hint="eastAsia"/>
          <w:color w:val="auto"/>
          <w:highlight w:val="none"/>
          <w:shd w:val="clear" w:color="auto" w:fill="ffffff"/>
        </w:rPr>
        <w:t xml:space="preserve">。</w:t>
      </w:r>
      <w:r>
        <w:rPr>
          <w:rStyle w:val="948"/>
          <w:rFonts w:hint="eastAsia"/>
          <w:i/>
          <w:strike w:val="0"/>
          <w:color w:val="auto"/>
          <w:highlight w:val="none"/>
          <w:u w:val="single"/>
          <w:shd w:val="clear" w:color="auto" w:fill="ffffff"/>
        </w:rPr>
        <w:t xml:space="preserve">（产品名称1）</w:t>
      </w:r>
      <w:r>
        <w:rPr>
          <w:rFonts w:hint="eastAsia"/>
          <w:strike w:val="0"/>
          <w:color w:val="auto"/>
          <w:highlight w:val="none"/>
          <w:shd w:val="clear" w:color="auto" w:fill="ffffff"/>
        </w:rPr>
        <w:t xml:space="preserve">的中国境内生产的组件成本占比≥</w:t>
      </w:r>
      <w:r>
        <w:rPr>
          <w:rStyle w:val="948"/>
          <w:rFonts w:hint="eastAsia"/>
          <w:i/>
          <w:strike w:val="0"/>
          <w:color w:val="auto"/>
          <w:highlight w:val="none"/>
          <w:u w:val="single"/>
          <w:shd w:val="clear" w:color="auto" w:fill="ffffff"/>
        </w:rPr>
        <w:t xml:space="preserve">（规定比例）</w:t>
      </w:r>
      <w:r>
        <w:rPr>
          <w:rStyle w:val="948"/>
          <w:rFonts w:hint="eastAsia"/>
          <w:i w:val="0"/>
          <w:color w:val="auto"/>
          <w:highlight w:val="none"/>
          <w:shd w:val="clear" w:color="auto" w:fill="ffffff"/>
          <w:vertAlign w:val="superscript"/>
        </w:rPr>
        <w:t xml:space="preserve">3</w:t>
      </w:r>
      <w:r>
        <w:rPr>
          <w:rFonts w:hint="eastAsia"/>
          <w:strike w:val="0"/>
          <w:color w:val="auto"/>
          <w:highlight w:val="none"/>
          <w:shd w:val="clear" w:color="auto" w:fill="ffffff"/>
        </w:rPr>
        <w:t xml:space="preserve">。</w:t>
      </w:r>
      <w:r>
        <w:rPr>
          <w:rStyle w:val="948"/>
          <w:rFonts w:hint="eastAsia"/>
          <w:i/>
          <w:strike w:val="0"/>
          <w:color w:val="auto"/>
          <w:highlight w:val="none"/>
          <w:u w:val="single"/>
          <w:shd w:val="clear" w:color="auto" w:fill="ffffff"/>
        </w:rPr>
        <w:t xml:space="preserve">（产品名称1）</w:t>
      </w:r>
      <w:r>
        <w:rPr>
          <w:rFonts w:hint="eastAsia"/>
          <w:strike w:val="0"/>
          <w:color w:val="auto"/>
          <w:highlight w:val="none"/>
          <w:shd w:val="clear" w:color="auto" w:fill="ffffff"/>
        </w:rPr>
        <w:t xml:space="preserve">的</w:t>
      </w:r>
      <w:r>
        <w:rPr>
          <w:rStyle w:val="948"/>
          <w:rFonts w:hint="eastAsia"/>
          <w:i/>
          <w:strike w:val="0"/>
          <w:color w:val="auto"/>
          <w:highlight w:val="none"/>
          <w:u w:val="single"/>
          <w:shd w:val="clear" w:color="auto" w:fill="ffffff"/>
        </w:rPr>
        <w:t xml:space="preserve">（关键组件）</w:t>
      </w:r>
      <w:r>
        <w:rPr>
          <w:rStyle w:val="948"/>
          <w:rFonts w:hint="eastAsia"/>
          <w:i w:val="0"/>
          <w:color w:val="auto"/>
          <w:highlight w:val="none"/>
          <w:shd w:val="clear" w:color="auto" w:fill="ffffff"/>
          <w:vertAlign w:val="superscript"/>
        </w:rPr>
        <w:t xml:space="preserve">4</w:t>
      </w:r>
      <w:r>
        <w:rPr>
          <w:rFonts w:hint="eastAsia"/>
          <w:strike w:val="0"/>
          <w:color w:val="auto"/>
          <w:highlight w:val="none"/>
          <w:shd w:val="clear" w:color="auto" w:fill="ffffff"/>
        </w:rPr>
        <w:t xml:space="preserve">在中国境内生产。</w:t>
      </w:r>
      <w:r>
        <w:rPr>
          <w:rStyle w:val="948"/>
          <w:rFonts w:hint="eastAsia"/>
          <w:i/>
          <w:strike w:val="0"/>
          <w:color w:val="auto"/>
          <w:highlight w:val="none"/>
          <w:u w:val="single"/>
          <w:shd w:val="clear" w:color="auto" w:fill="ffffff"/>
        </w:rPr>
        <w:t xml:space="preserve">（产品名称1）</w:t>
      </w:r>
      <w:r>
        <w:rPr>
          <w:rFonts w:hint="eastAsia"/>
          <w:strike w:val="0"/>
          <w:color w:val="auto"/>
          <w:highlight w:val="none"/>
          <w:shd w:val="clear" w:color="auto" w:fill="ffffff"/>
        </w:rPr>
        <w:t xml:space="preserve">的</w:t>
      </w:r>
      <w:r>
        <w:rPr>
          <w:rStyle w:val="948"/>
          <w:rFonts w:hint="eastAsia"/>
          <w:i/>
          <w:strike w:val="0"/>
          <w:color w:val="auto"/>
          <w:highlight w:val="none"/>
          <w:u w:val="single"/>
          <w:shd w:val="clear" w:color="auto" w:fill="ffffff"/>
        </w:rPr>
        <w:t xml:space="preserve">（关键工序）</w:t>
      </w:r>
      <w:r>
        <w:rPr>
          <w:rStyle w:val="948"/>
          <w:rFonts w:hint="eastAsia"/>
          <w:i w:val="0"/>
          <w:color w:val="auto"/>
          <w:highlight w:val="none"/>
          <w:shd w:val="clear" w:color="auto" w:fill="ffffff"/>
          <w:vertAlign w:val="superscript"/>
        </w:rPr>
        <w:t xml:space="preserve">5</w:t>
      </w:r>
      <w:r>
        <w:rPr>
          <w:rFonts w:hint="eastAsia"/>
          <w:strike w:val="0"/>
          <w:color w:val="auto"/>
          <w:highlight w:val="none"/>
          <w:shd w:val="clear" w:color="auto" w:fill="ffffff"/>
        </w:rPr>
        <w:t xml:space="preserve">在中国境内完成。</w:t>
      </w:r>
      <w:r>
        <w:rPr>
          <w:color w:val="auto"/>
          <w:highlight w:val="none"/>
        </w:rPr>
      </w:r>
      <w:r/>
    </w:p>
    <w:p>
      <w:pPr>
        <w:pStyle w:val="936"/>
        <w:ind w:firstLine="420"/>
        <w:spacing w:before="24" w:beforeAutospacing="0" w:after="24" w:afterAutospacing="0" w:line="360" w:lineRule="auto"/>
        <w:shd w:val="clear" w:color="auto" w:fill="ffffff"/>
        <w:rPr>
          <w:rFonts w:hint="eastAsia"/>
          <w:strike w:val="0"/>
          <w:color w:val="auto"/>
          <w:highlight w:val="none"/>
        </w:rPr>
      </w:pPr>
      <w:r>
        <w:rPr>
          <w:rFonts w:hint="eastAsia"/>
          <w:color w:val="auto"/>
          <w:highlight w:val="none"/>
          <w:shd w:val="clear" w:color="auto" w:fill="ffffff"/>
        </w:rPr>
        <w:t xml:space="preserve">2.</w:t>
      </w:r>
      <w:r>
        <w:rPr>
          <w:rStyle w:val="948"/>
          <w:rFonts w:hint="eastAsia"/>
          <w:i w:val="0"/>
          <w:color w:val="auto"/>
          <w:highlight w:val="none"/>
          <w:u w:val="single"/>
          <w:shd w:val="clear" w:color="auto" w:fill="ffffff"/>
        </w:rPr>
        <w:t xml:space="preserve">（产品名称2）</w:t>
      </w:r>
      <w:r>
        <w:rPr>
          <w:rFonts w:hint="eastAsia"/>
          <w:color w:val="auto"/>
          <w:highlight w:val="none"/>
          <w:shd w:val="clear" w:color="auto" w:fill="ffffff"/>
        </w:rPr>
        <w:t xml:space="preserve">，生产厂为</w:t>
      </w:r>
      <w:r>
        <w:rPr>
          <w:rStyle w:val="948"/>
          <w:rFonts w:hint="eastAsia"/>
          <w:i w:val="0"/>
          <w:color w:val="auto"/>
          <w:highlight w:val="none"/>
          <w:u w:val="single"/>
          <w:shd w:val="clear" w:color="auto" w:fill="ffffff"/>
        </w:rPr>
        <w:t xml:space="preserve">（厂名）</w:t>
      </w:r>
      <w:r>
        <w:rPr>
          <w:rFonts w:hint="eastAsia"/>
          <w:color w:val="auto"/>
          <w:highlight w:val="none"/>
          <w:shd w:val="clear" w:color="auto" w:fill="ffffff"/>
        </w:rPr>
        <w:t xml:space="preserve">，厂址为</w:t>
      </w:r>
      <w:r>
        <w:rPr>
          <w:rStyle w:val="948"/>
          <w:rFonts w:hint="eastAsia"/>
          <w:i w:val="0"/>
          <w:color w:val="auto"/>
          <w:highlight w:val="none"/>
          <w:u w:val="single"/>
          <w:shd w:val="clear" w:color="auto" w:fill="ffffff"/>
        </w:rPr>
        <w:t xml:space="preserve">（生产厂址）</w:t>
      </w:r>
      <w:r>
        <w:rPr>
          <w:rFonts w:hint="eastAsia"/>
          <w:color w:val="auto"/>
          <w:highlight w:val="none"/>
          <w:shd w:val="clear" w:color="auto" w:fill="ffffff"/>
        </w:rPr>
        <w:t xml:space="preserve">。</w:t>
      </w:r>
      <w:r>
        <w:rPr>
          <w:rStyle w:val="948"/>
          <w:rFonts w:hint="eastAsia"/>
          <w:i/>
          <w:strike w:val="0"/>
          <w:color w:val="auto"/>
          <w:highlight w:val="none"/>
          <w:u w:val="single"/>
          <w:shd w:val="clear" w:color="auto" w:fill="ffffff"/>
        </w:rPr>
        <w:t xml:space="preserve">（产品名称2）</w:t>
      </w:r>
      <w:r>
        <w:rPr>
          <w:rFonts w:hint="eastAsia"/>
          <w:strike w:val="0"/>
          <w:color w:val="auto"/>
          <w:highlight w:val="none"/>
          <w:shd w:val="clear" w:color="auto" w:fill="ffffff"/>
        </w:rPr>
        <w:t xml:space="preserve">的中国境内生产的组件成本占比≥</w:t>
      </w:r>
      <w:r>
        <w:rPr>
          <w:rStyle w:val="948"/>
          <w:rFonts w:hint="eastAsia"/>
          <w:i/>
          <w:strike w:val="0"/>
          <w:color w:val="auto"/>
          <w:highlight w:val="none"/>
          <w:u w:val="single"/>
          <w:shd w:val="clear" w:color="auto" w:fill="ffffff"/>
        </w:rPr>
        <w:t xml:space="preserve">（规定比例）</w:t>
      </w:r>
      <w:r>
        <w:rPr>
          <w:rFonts w:hint="eastAsia"/>
          <w:strike w:val="0"/>
          <w:color w:val="auto"/>
          <w:highlight w:val="none"/>
          <w:shd w:val="clear" w:color="auto" w:fill="ffffff"/>
        </w:rPr>
        <w:t xml:space="preserve">。</w:t>
      </w:r>
      <w:r>
        <w:rPr>
          <w:rStyle w:val="948"/>
          <w:rFonts w:hint="eastAsia"/>
          <w:i/>
          <w:strike w:val="0"/>
          <w:color w:val="auto"/>
          <w:highlight w:val="none"/>
          <w:u w:val="single"/>
          <w:shd w:val="clear" w:color="auto" w:fill="ffffff"/>
        </w:rPr>
        <w:t xml:space="preserve">（产品名称2）</w:t>
      </w:r>
      <w:r>
        <w:rPr>
          <w:rFonts w:hint="eastAsia"/>
          <w:strike w:val="0"/>
          <w:color w:val="auto"/>
          <w:highlight w:val="none"/>
          <w:shd w:val="clear" w:color="auto" w:fill="ffffff"/>
        </w:rPr>
        <w:t xml:space="preserve">的</w:t>
      </w:r>
      <w:r>
        <w:rPr>
          <w:rStyle w:val="948"/>
          <w:rFonts w:hint="eastAsia"/>
          <w:i/>
          <w:strike w:val="0"/>
          <w:color w:val="auto"/>
          <w:highlight w:val="none"/>
          <w:u w:val="single"/>
          <w:shd w:val="clear" w:color="auto" w:fill="ffffff"/>
        </w:rPr>
        <w:t xml:space="preserve">（关键组件）</w:t>
      </w:r>
      <w:r>
        <w:rPr>
          <w:rFonts w:hint="eastAsia"/>
          <w:strike w:val="0"/>
          <w:color w:val="auto"/>
          <w:highlight w:val="none"/>
          <w:shd w:val="clear" w:color="auto" w:fill="ffffff"/>
        </w:rPr>
        <w:t xml:space="preserve">在中国境内生产。</w:t>
      </w:r>
      <w:r>
        <w:rPr>
          <w:rStyle w:val="948"/>
          <w:rFonts w:hint="eastAsia"/>
          <w:i/>
          <w:strike w:val="0"/>
          <w:color w:val="auto"/>
          <w:highlight w:val="none"/>
          <w:u w:val="single"/>
          <w:shd w:val="clear" w:color="auto" w:fill="ffffff"/>
        </w:rPr>
        <w:t xml:space="preserve">（产品名称2）</w:t>
      </w:r>
      <w:r>
        <w:rPr>
          <w:rFonts w:hint="eastAsia"/>
          <w:strike w:val="0"/>
          <w:color w:val="auto"/>
          <w:highlight w:val="none"/>
          <w:shd w:val="clear" w:color="auto" w:fill="ffffff"/>
        </w:rPr>
        <w:t xml:space="preserve">的</w:t>
      </w:r>
      <w:r>
        <w:rPr>
          <w:rStyle w:val="948"/>
          <w:rFonts w:hint="eastAsia"/>
          <w:i/>
          <w:strike w:val="0"/>
          <w:color w:val="auto"/>
          <w:highlight w:val="none"/>
          <w:u w:val="single"/>
          <w:shd w:val="clear" w:color="auto" w:fill="ffffff"/>
        </w:rPr>
        <w:t xml:space="preserve">（关键工序）</w:t>
      </w:r>
      <w:r>
        <w:rPr>
          <w:rFonts w:hint="eastAsia"/>
          <w:strike w:val="0"/>
          <w:color w:val="auto"/>
          <w:highlight w:val="none"/>
          <w:shd w:val="clear" w:color="auto" w:fill="ffffff"/>
        </w:rPr>
        <w:t xml:space="preserve">在中国境内完成。</w:t>
      </w:r>
      <w:r>
        <w:rPr>
          <w:color w:val="auto"/>
          <w:highlight w:val="none"/>
        </w:rPr>
      </w:r>
      <w:r/>
    </w:p>
    <w:p>
      <w:pPr>
        <w:pStyle w:val="936"/>
        <w:ind w:firstLine="420"/>
        <w:spacing w:before="24" w:beforeAutospacing="0" w:after="24" w:afterAutospacing="0" w:line="360" w:lineRule="auto"/>
        <w:shd w:val="clear" w:color="auto" w:fill="ffffff"/>
        <w:rPr>
          <w:rFonts w:hint="eastAsia"/>
          <w:color w:val="auto"/>
          <w:highlight w:val="none"/>
          <w:shd w:val="clear" w:color="auto" w:fill="ffffff"/>
        </w:rPr>
      </w:pPr>
      <w:r>
        <w:rPr>
          <w:rFonts w:hint="eastAsia"/>
          <w:color w:val="auto"/>
          <w:highlight w:val="none"/>
          <w:shd w:val="clear" w:color="auto" w:fill="ffffff"/>
        </w:rPr>
        <w:t xml:space="preserve">……</w:t>
      </w:r>
      <w:r>
        <w:rPr>
          <w:color w:val="auto"/>
          <w:highlight w:val="none"/>
        </w:rPr>
      </w:r>
      <w:r/>
    </w:p>
    <w:p>
      <w:pPr>
        <w:pStyle w:val="936"/>
        <w:ind w:firstLine="420"/>
        <w:spacing w:before="24" w:beforeAutospacing="0" w:after="24" w:afterAutospacing="0" w:line="360" w:lineRule="auto"/>
        <w:shd w:val="clear" w:color="auto" w:fill="ffffff"/>
        <w:rPr>
          <w:rFonts w:hint="eastAsia"/>
          <w:color w:val="auto"/>
          <w:highlight w:val="none"/>
        </w:rPr>
      </w:pPr>
      <w:r>
        <w:rPr>
          <w:color w:val="auto"/>
          <w:highlight w:val="none"/>
        </w:rPr>
      </w:r>
      <w:bookmarkStart w:id="214" w:name="OLE_LINK6"/>
      <w:r>
        <w:rPr>
          <w:rFonts w:hint="eastAsia"/>
          <w:color w:val="auto"/>
          <w:highlight w:val="none"/>
          <w:shd w:val="clear" w:color="auto" w:fill="ffffff"/>
        </w:rPr>
        <w:t xml:space="preserve">本公司（单位）</w:t>
      </w:r>
      <w:bookmarkEnd w:id="214"/>
      <w:r>
        <w:rPr>
          <w:rFonts w:hint="eastAsia"/>
          <w:color w:val="auto"/>
          <w:highlight w:val="none"/>
          <w:shd w:val="clear" w:color="auto" w:fill="ffffff"/>
        </w:rPr>
        <w:t xml:space="preserve">对上述声明内容的真实性负责。如有虚假，愿承担相应法律责任。</w:t>
      </w:r>
      <w:r>
        <w:rPr>
          <w:color w:val="auto"/>
          <w:highlight w:val="none"/>
        </w:rPr>
      </w:r>
      <w:r/>
    </w:p>
    <w:p>
      <w:pPr>
        <w:pStyle w:val="936"/>
        <w:jc w:val="right"/>
        <w:spacing w:before="24" w:beforeAutospacing="0" w:after="24" w:afterAutospacing="0" w:line="360" w:lineRule="auto"/>
        <w:shd w:val="clear" w:color="auto" w:fill="ffffff"/>
        <w:rPr>
          <w:rFonts w:hint="eastAsia"/>
          <w:color w:val="auto"/>
          <w:highlight w:val="none"/>
        </w:rPr>
      </w:pPr>
      <w:r>
        <w:rPr>
          <w:rFonts w:hint="eastAsia"/>
          <w:color w:val="auto"/>
          <w:highlight w:val="none"/>
          <w:shd w:val="clear" w:color="auto" w:fill="ffffff"/>
        </w:rPr>
        <w:t xml:space="preserve">公司（单位）名称（盖章）：　        </w:t>
      </w:r>
      <w:r>
        <w:rPr>
          <w:color w:val="auto"/>
          <w:highlight w:val="none"/>
        </w:rPr>
      </w:r>
      <w:r/>
    </w:p>
    <w:p>
      <w:pPr>
        <w:pStyle w:val="936"/>
        <w:jc w:val="right"/>
        <w:spacing w:before="24" w:beforeAutospacing="0" w:after="24" w:afterAutospacing="0" w:line="360" w:lineRule="auto"/>
        <w:shd w:val="clear" w:color="auto" w:fill="ffffff"/>
        <w:rPr>
          <w:rFonts w:hint="eastAsia"/>
          <w:color w:val="auto"/>
          <w:sz w:val="28"/>
          <w:szCs w:val="28"/>
          <w:highlight w:val="none"/>
        </w:rPr>
      </w:pPr>
      <w:r>
        <w:rPr>
          <w:rFonts w:hint="eastAsia"/>
          <w:color w:val="auto"/>
          <w:highlight w:val="none"/>
          <w:shd w:val="clear" w:color="auto" w:fill="ffffff"/>
        </w:rPr>
        <w:t xml:space="preserve">日期：　     年　  月　  日    </w:t>
      </w:r>
      <w:r>
        <w:rPr>
          <w:rFonts w:hint="eastAsia"/>
          <w:color w:val="auto"/>
          <w:sz w:val="28"/>
          <w:szCs w:val="28"/>
          <w:highlight w:val="none"/>
          <w:shd w:val="clear" w:color="auto" w:fill="ffffff"/>
        </w:rPr>
        <w:t xml:space="preserve">     </w:t>
      </w:r>
      <w:r>
        <w:rPr>
          <w:color w:val="auto"/>
          <w:highlight w:val="none"/>
        </w:rPr>
      </w:r>
      <w:r/>
    </w:p>
    <w:p>
      <w:pPr>
        <w:pStyle w:val="936"/>
        <w:spacing w:before="24" w:beforeAutospacing="0" w:after="24" w:afterAutospacing="0" w:line="360" w:lineRule="auto"/>
        <w:shd w:val="clear" w:color="auto" w:fill="ffffff"/>
        <w:rPr>
          <w:rFonts w:hint="eastAsia"/>
          <w:color w:val="auto"/>
          <w:sz w:val="28"/>
          <w:szCs w:val="28"/>
          <w:highlight w:val="none"/>
        </w:rPr>
      </w:pPr>
      <w:r>
        <w:rPr>
          <w:rFonts w:hint="eastAsia"/>
          <w:color w:val="auto"/>
          <w:sz w:val="28"/>
          <w:szCs w:val="28"/>
          <w:highlight w:val="none"/>
          <w:shd w:val="clear" w:color="auto" w:fill="ffffff"/>
        </w:rPr>
        <w:t xml:space="preserve">__________________</w:t>
      </w:r>
      <w:r>
        <w:rPr>
          <w:color w:val="auto"/>
          <w:highlight w:val="none"/>
        </w:rPr>
      </w:r>
      <w:r/>
    </w:p>
    <w:p>
      <w:pPr>
        <w:pStyle w:val="936"/>
        <w:ind w:firstLine="420"/>
        <w:spacing w:before="24" w:beforeAutospacing="0" w:after="24" w:afterAutospacing="0" w:line="360" w:lineRule="auto"/>
        <w:shd w:val="clear" w:color="auto" w:fill="ffffff"/>
        <w:rPr>
          <w:rFonts w:hint="eastAsia"/>
          <w:color w:val="auto"/>
          <w:sz w:val="21"/>
          <w:szCs w:val="21"/>
          <w:highlight w:val="none"/>
        </w:rPr>
      </w:pPr>
      <w:r>
        <w:rPr>
          <w:rFonts w:hint="eastAsia"/>
          <w:color w:val="auto"/>
          <w:sz w:val="21"/>
          <w:szCs w:val="21"/>
          <w:highlight w:val="none"/>
          <w:shd w:val="clear" w:color="auto" w:fill="ffffff"/>
        </w:rPr>
        <w:t xml:space="preserve">1.产品如有型号，请在“产品名称”栏一并填写。</w:t>
      </w:r>
      <w:r>
        <w:rPr>
          <w:color w:val="auto"/>
          <w:highlight w:val="none"/>
        </w:rPr>
      </w:r>
      <w:r/>
    </w:p>
    <w:p>
      <w:pPr>
        <w:pStyle w:val="936"/>
        <w:ind w:firstLine="420"/>
        <w:spacing w:before="24" w:beforeAutospacing="0" w:after="24" w:afterAutospacing="0" w:line="360" w:lineRule="auto"/>
        <w:shd w:val="clear" w:color="auto" w:fill="ffffff"/>
        <w:rPr>
          <w:rFonts w:hint="eastAsia"/>
          <w:color w:val="auto"/>
          <w:sz w:val="21"/>
          <w:szCs w:val="21"/>
          <w:highlight w:val="none"/>
        </w:rPr>
      </w:pPr>
      <w:r>
        <w:rPr>
          <w:rFonts w:hint="eastAsia"/>
          <w:color w:val="auto"/>
          <w:sz w:val="21"/>
          <w:szCs w:val="21"/>
          <w:highlight w:val="none"/>
          <w:shd w:val="clear" w:color="auto" w:fill="ffffff"/>
        </w:rPr>
        <w:t xml:space="preserve">2.生产厂名与厂址应与生产厂营业执照载明的相关信息保持一致。</w:t>
      </w:r>
      <w:r>
        <w:rPr>
          <w:color w:val="auto"/>
          <w:highlight w:val="none"/>
        </w:rPr>
      </w:r>
      <w:r/>
    </w:p>
    <w:p>
      <w:pPr>
        <w:pStyle w:val="936"/>
        <w:ind w:firstLine="420"/>
        <w:spacing w:before="24" w:beforeAutospacing="0" w:after="24" w:afterAutospacing="0" w:line="360" w:lineRule="auto"/>
        <w:shd w:val="clear" w:color="auto" w:fill="ffffff"/>
        <w:rPr>
          <w:rFonts w:hint="eastAsia"/>
          <w:b w:val="0"/>
          <w:bCs w:val="0"/>
          <w:color w:val="auto"/>
          <w:sz w:val="21"/>
          <w:szCs w:val="21"/>
          <w:highlight w:val="none"/>
        </w:rPr>
      </w:pPr>
      <w:r>
        <w:rPr>
          <w:rFonts w:hint="eastAsia"/>
          <w:b w:val="0"/>
          <w:bCs w:val="0"/>
          <w:color w:val="auto"/>
          <w:sz w:val="21"/>
          <w:szCs w:val="21"/>
          <w:highlight w:val="none"/>
          <w:shd w:val="clear" w:color="auto" w:fill="ffffff"/>
        </w:rPr>
        <w:t xml:space="preserve">3.该产品的中国境内生产的组件成本占比相关要求实施前，“规定比例”栏可不填。</w:t>
      </w:r>
      <w:r>
        <w:rPr>
          <w:color w:val="auto"/>
          <w:highlight w:val="none"/>
        </w:rPr>
      </w:r>
      <w:r/>
    </w:p>
    <w:p>
      <w:pPr>
        <w:pStyle w:val="936"/>
        <w:ind w:firstLine="420"/>
        <w:spacing w:before="24" w:beforeAutospacing="0" w:after="24" w:afterAutospacing="0" w:line="360" w:lineRule="auto"/>
        <w:shd w:val="clear" w:color="auto" w:fill="ffffff"/>
        <w:rPr>
          <w:rFonts w:hint="eastAsia"/>
          <w:b w:val="0"/>
          <w:bCs w:val="0"/>
          <w:color w:val="auto"/>
          <w:sz w:val="21"/>
          <w:szCs w:val="21"/>
          <w:highlight w:val="none"/>
          <w:shd w:val="clear" w:color="auto" w:fill="ffffff"/>
        </w:rPr>
      </w:pPr>
      <w:r>
        <w:rPr>
          <w:rFonts w:hint="eastAsia"/>
          <w:b w:val="0"/>
          <w:bCs w:val="0"/>
          <w:color w:val="auto"/>
          <w:sz w:val="21"/>
          <w:szCs w:val="21"/>
          <w:highlight w:val="none"/>
          <w:shd w:val="clear" w:color="auto" w:fill="ffffff"/>
        </w:rPr>
        <w:t xml:space="preserve">4.该产品的关键组件要求实施前，“关键组件”栏可不填。</w:t>
      </w:r>
      <w:r>
        <w:rPr>
          <w:color w:val="auto"/>
          <w:highlight w:val="none"/>
        </w:rPr>
      </w:r>
      <w:r/>
    </w:p>
    <w:p>
      <w:pPr>
        <w:pStyle w:val="873"/>
        <w:ind w:firstLine="420"/>
        <w:jc w:val="both"/>
        <w:rPr>
          <w:rFonts w:hint="eastAsia"/>
          <w:b w:val="0"/>
          <w:bCs w:val="0"/>
          <w:color w:val="auto"/>
          <w:sz w:val="21"/>
          <w:szCs w:val="21"/>
          <w:highlight w:val="none"/>
          <w:shd w:val="clear" w:color="auto" w:fill="ffffff"/>
        </w:rPr>
      </w:pPr>
      <w:r>
        <w:rPr>
          <w:rFonts w:hint="eastAsia"/>
          <w:b w:val="0"/>
          <w:bCs w:val="0"/>
          <w:color w:val="auto"/>
          <w:sz w:val="21"/>
          <w:szCs w:val="21"/>
          <w:highlight w:val="none"/>
          <w:shd w:val="clear" w:color="auto" w:fill="ffffff"/>
        </w:rPr>
        <w:t xml:space="preserve">5.该产品的关键工序要求实施前，“关键工序”栏可不填。</w:t>
      </w:r>
      <w:r>
        <w:rPr>
          <w:color w:val="auto"/>
          <w:highlight w:val="none"/>
        </w:rPr>
      </w:r>
      <w:r/>
    </w:p>
    <w:p>
      <w:pPr>
        <w:pStyle w:val="873"/>
        <w:ind w:firstLine="640"/>
        <w:jc w:val="center"/>
        <w:rPr>
          <w:rFonts w:hint="eastAsia"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br w:type="page" w:clear="all"/>
      </w:r>
      <w:r>
        <w:rPr>
          <w:rFonts w:hint="eastAsia" w:ascii="方正小标宋简体" w:hAnsi="方正小标宋简体" w:eastAsia="方正小标宋简体" w:cs="方正小标宋简体"/>
          <w:color w:val="auto"/>
          <w:sz w:val="32"/>
          <w:szCs w:val="32"/>
          <w:highlight w:val="none"/>
        </w:rPr>
        <w:t xml:space="preserve">质疑函范本</w:t>
      </w:r>
      <w:r>
        <w:rPr>
          <w:color w:val="auto"/>
          <w:highlight w:val="none"/>
        </w:rPr>
      </w:r>
      <w:r/>
    </w:p>
    <w:p>
      <w:pPr>
        <w:pStyle w:val="873"/>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一、质疑供应商基本信息</w:t>
      </w:r>
      <w:r>
        <w:rPr>
          <w:color w:val="auto"/>
          <w:highlight w:val="none"/>
        </w:rPr>
      </w:r>
      <w:r/>
    </w:p>
    <w:p>
      <w:pPr>
        <w:pStyle w:val="873"/>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供应商名称：</w:t>
      </w:r>
      <w:r>
        <w:rPr>
          <w:rFonts w:hint="eastAsia" w:ascii="宋体" w:hAnsi="宋体" w:cs="仿宋"/>
          <w:color w:val="auto"/>
          <w:sz w:val="24"/>
          <w:szCs w:val="24"/>
          <w:highlight w:val="none"/>
          <w:u w:val="single"/>
        </w:rPr>
        <w:t xml:space="preserve">                                                              </w:t>
      </w:r>
      <w:r>
        <w:rPr>
          <w:color w:val="auto"/>
          <w:highlight w:val="none"/>
        </w:rPr>
      </w:r>
      <w:r/>
    </w:p>
    <w:p>
      <w:pPr>
        <w:pStyle w:val="873"/>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rPr>
          <w:color w:val="auto"/>
          <w:highlight w:val="none"/>
        </w:rPr>
      </w:r>
      <w:r/>
    </w:p>
    <w:p>
      <w:pPr>
        <w:pStyle w:val="873"/>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rPr>
          <w:color w:val="auto"/>
          <w:highlight w:val="none"/>
        </w:rPr>
      </w:r>
      <w:r/>
    </w:p>
    <w:p>
      <w:pPr>
        <w:pStyle w:val="873"/>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rPr>
          <w:color w:val="auto"/>
          <w:highlight w:val="none"/>
        </w:rPr>
      </w:r>
      <w:r/>
    </w:p>
    <w:p>
      <w:pPr>
        <w:pStyle w:val="873"/>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二、质疑项目基本情况</w:t>
      </w:r>
      <w:r>
        <w:rPr>
          <w:color w:val="auto"/>
          <w:highlight w:val="none"/>
        </w:rPr>
      </w:r>
      <w:r/>
    </w:p>
    <w:p>
      <w:pPr>
        <w:pStyle w:val="873"/>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项目名称：</w:t>
      </w:r>
      <w:r>
        <w:rPr>
          <w:rFonts w:hint="eastAsia" w:ascii="宋体" w:hAnsi="宋体" w:cs="仿宋"/>
          <w:color w:val="auto"/>
          <w:sz w:val="24"/>
          <w:szCs w:val="24"/>
          <w:highlight w:val="none"/>
          <w:u w:val="single"/>
        </w:rPr>
        <w:t xml:space="preserve">                                                          </w:t>
      </w:r>
      <w:r>
        <w:rPr>
          <w:color w:val="auto"/>
          <w:highlight w:val="none"/>
        </w:rPr>
      </w:r>
      <w:r/>
    </w:p>
    <w:p>
      <w:pPr>
        <w:pStyle w:val="873"/>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项目编号：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采购包号：</w:t>
      </w:r>
      <w:r>
        <w:rPr>
          <w:rFonts w:hint="eastAsia" w:ascii="宋体" w:hAnsi="宋体" w:cs="仿宋"/>
          <w:color w:val="auto"/>
          <w:sz w:val="24"/>
          <w:szCs w:val="24"/>
          <w:highlight w:val="none"/>
          <w:u w:val="single"/>
        </w:rPr>
        <w:t xml:space="preserve">                   </w:t>
      </w:r>
      <w:r>
        <w:rPr>
          <w:color w:val="auto"/>
          <w:highlight w:val="none"/>
        </w:rPr>
      </w:r>
      <w:r/>
    </w:p>
    <w:p>
      <w:pPr>
        <w:pStyle w:val="873"/>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rPr>
          <w:color w:val="auto"/>
          <w:highlight w:val="none"/>
        </w:rPr>
      </w:r>
      <w:r/>
    </w:p>
    <w:p>
      <w:pPr>
        <w:pStyle w:val="873"/>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三、质疑事项具体内容</w:t>
      </w:r>
      <w:r>
        <w:rPr>
          <w:color w:val="auto"/>
          <w:highlight w:val="none"/>
        </w:rPr>
      </w:r>
      <w:r/>
    </w:p>
    <w:p>
      <w:pPr>
        <w:pStyle w:val="873"/>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rPr>
          <w:color w:val="auto"/>
          <w:highlight w:val="none"/>
        </w:rPr>
      </w:r>
      <w:r/>
    </w:p>
    <w:p>
      <w:pPr>
        <w:pStyle w:val="873"/>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rPr>
          <w:color w:val="auto"/>
          <w:highlight w:val="none"/>
        </w:rPr>
      </w:r>
      <w:r/>
    </w:p>
    <w:p>
      <w:pPr>
        <w:pStyle w:val="873"/>
        <w:spacing w:line="360" w:lineRule="auto"/>
        <w:rPr>
          <w:rFonts w:ascii="宋体" w:hAnsi="宋体" w:cs="仿宋"/>
          <w:color w:val="auto"/>
          <w:sz w:val="24"/>
          <w:szCs w:val="24"/>
          <w:highlight w:val="none"/>
        </w:rPr>
      </w:pPr>
      <w:r>
        <w:rPr>
          <w:rFonts w:hint="eastAsia" w:ascii="宋体" w:hAnsi="宋体" w:cs="仿宋"/>
          <w:color w:val="auto"/>
          <w:sz w:val="24"/>
          <w:szCs w:val="24"/>
          <w:highlight w:val="none"/>
          <w:u w:val="single"/>
        </w:rPr>
        <w:t xml:space="preserve">                                                                          </w:t>
      </w:r>
      <w:r>
        <w:rPr>
          <w:color w:val="auto"/>
          <w:highlight w:val="none"/>
        </w:rPr>
      </w:r>
      <w:r/>
    </w:p>
    <w:p>
      <w:pPr>
        <w:pStyle w:val="873"/>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rPr>
          <w:color w:val="auto"/>
          <w:highlight w:val="none"/>
        </w:rPr>
      </w:r>
      <w:r/>
    </w:p>
    <w:p>
      <w:pPr>
        <w:pStyle w:val="873"/>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r>
        <w:rPr>
          <w:color w:val="auto"/>
          <w:highlight w:val="none"/>
        </w:rPr>
      </w:r>
      <w:r/>
    </w:p>
    <w:p>
      <w:pPr>
        <w:pStyle w:val="873"/>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rPr>
          <w:rFonts w:hint="eastAsia" w:ascii="宋体" w:hAnsi="宋体" w:cs="仿宋"/>
          <w:color w:val="auto"/>
          <w:sz w:val="24"/>
          <w:szCs w:val="24"/>
          <w:highlight w:val="none"/>
          <w:u w:val="single"/>
        </w:rPr>
        <w:t xml:space="preserve">                                                                </w:t>
      </w:r>
      <w:r>
        <w:rPr>
          <w:color w:val="auto"/>
          <w:highlight w:val="none"/>
        </w:rPr>
      </w:r>
      <w:r/>
    </w:p>
    <w:p>
      <w:pPr>
        <w:pStyle w:val="873"/>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w:t>
      </w:r>
      <w:r>
        <w:rPr>
          <w:color w:val="auto"/>
          <w:highlight w:val="none"/>
        </w:rPr>
      </w:r>
      <w:r/>
    </w:p>
    <w:p>
      <w:pPr>
        <w:pStyle w:val="873"/>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四、质疑事项相关请求</w:t>
      </w:r>
      <w:r>
        <w:rPr>
          <w:color w:val="auto"/>
          <w:highlight w:val="none"/>
        </w:rPr>
      </w:r>
      <w:r/>
    </w:p>
    <w:p>
      <w:pPr>
        <w:pStyle w:val="873"/>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rPr>
          <w:color w:val="auto"/>
          <w:highlight w:val="none"/>
        </w:rPr>
      </w:r>
      <w:r/>
    </w:p>
    <w:p>
      <w:pPr>
        <w:pStyle w:val="873"/>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p>
      <w:pPr>
        <w:pStyle w:val="873"/>
        <w:rPr>
          <w:rFonts w:ascii="宋体" w:hAnsi="宋体"/>
          <w:color w:val="auto"/>
          <w:sz w:val="24"/>
          <w:szCs w:val="24"/>
          <w:highlight w:val="none"/>
        </w:rPr>
      </w:pPr>
      <w:r>
        <w:rPr>
          <w:rFonts w:hint="eastAsia" w:ascii="宋体" w:hAnsi="宋体"/>
          <w:color w:val="auto"/>
          <w:sz w:val="24"/>
          <w:szCs w:val="24"/>
          <w:highlight w:val="none"/>
        </w:rPr>
        <w:t xml:space="preserve">签  字(签章)：                                 公  章：                      </w:t>
      </w:r>
      <w:r>
        <w:rPr>
          <w:color w:val="auto"/>
          <w:highlight w:val="none"/>
        </w:rPr>
      </w:r>
      <w:r/>
    </w:p>
    <w:p>
      <w:pPr>
        <w:pStyle w:val="873"/>
        <w:rPr>
          <w:rFonts w:ascii="宋体" w:hAnsi="宋体"/>
          <w:color w:val="auto"/>
          <w:sz w:val="24"/>
          <w:szCs w:val="24"/>
          <w:highlight w:val="none"/>
        </w:rPr>
      </w:pPr>
      <w:r>
        <w:rPr>
          <w:rFonts w:hint="eastAsia" w:ascii="宋体" w:hAnsi="宋体"/>
          <w:color w:val="auto"/>
          <w:sz w:val="24"/>
          <w:szCs w:val="24"/>
          <w:highlight w:val="none"/>
        </w:rPr>
        <w:t xml:space="preserve">日  期：    </w:t>
      </w:r>
      <w:r>
        <w:rPr>
          <w:color w:val="auto"/>
          <w:highlight w:val="none"/>
        </w:rPr>
      </w:r>
      <w:r/>
    </w:p>
    <w:p>
      <w:pPr>
        <w:pStyle w:val="873"/>
        <w:ind w:firstLine="480"/>
        <w:spacing w:line="480" w:lineRule="exact"/>
        <w:rPr>
          <w:rFonts w:hint="eastAsia" w:ascii="宋体" w:hAnsi="宋体"/>
          <w:bCs/>
          <w:color w:val="auto"/>
          <w:sz w:val="24"/>
          <w:szCs w:val="24"/>
          <w:highlight w:val="none"/>
        </w:rPr>
      </w:pPr>
      <w:r>
        <w:rPr>
          <w:rFonts w:hint="eastAsia" w:ascii="宋体" w:hAnsi="宋体"/>
          <w:bCs/>
          <w:color w:val="auto"/>
          <w:sz w:val="24"/>
          <w:szCs w:val="24"/>
          <w:highlight w:val="none"/>
        </w:rPr>
      </w:r>
      <w:r>
        <w:rPr>
          <w:color w:val="auto"/>
          <w:highlight w:val="none"/>
        </w:rPr>
      </w:r>
      <w:r/>
    </w:p>
    <w:p>
      <w:pPr>
        <w:pStyle w:val="873"/>
        <w:ind w:firstLine="480"/>
        <w:spacing w:line="480" w:lineRule="exact"/>
        <w:rPr>
          <w:rFonts w:hint="eastAsia" w:ascii="宋体" w:hAnsi="宋体"/>
          <w:bCs/>
          <w:color w:val="auto"/>
          <w:sz w:val="24"/>
          <w:szCs w:val="24"/>
          <w:highlight w:val="none"/>
        </w:rPr>
      </w:pPr>
      <w:r>
        <w:rPr>
          <w:rFonts w:hint="eastAsia" w:ascii="宋体" w:hAnsi="宋体"/>
          <w:bCs/>
          <w:color w:val="auto"/>
          <w:sz w:val="24"/>
          <w:szCs w:val="24"/>
          <w:highlight w:val="none"/>
        </w:rPr>
      </w:r>
      <w:r>
        <w:rPr>
          <w:color w:val="auto"/>
          <w:highlight w:val="none"/>
        </w:rPr>
      </w:r>
      <w:r/>
    </w:p>
    <w:p>
      <w:pPr>
        <w:pStyle w:val="873"/>
        <w:ind w:firstLine="480"/>
        <w:spacing w:line="480" w:lineRule="exact"/>
        <w:rPr>
          <w:rFonts w:ascii="宋体" w:hAnsi="宋体"/>
          <w:bCs/>
          <w:color w:val="auto"/>
          <w:sz w:val="24"/>
          <w:szCs w:val="24"/>
          <w:highlight w:val="none"/>
        </w:rPr>
      </w:pPr>
      <w:r>
        <w:rPr>
          <w:rFonts w:hint="eastAsia" w:ascii="宋体" w:hAnsi="宋体"/>
          <w:bCs/>
          <w:color w:val="auto"/>
          <w:sz w:val="24"/>
          <w:szCs w:val="24"/>
          <w:highlight w:val="none"/>
        </w:rPr>
        <w:t xml:space="preserve">相关说明：</w:t>
      </w:r>
      <w:r>
        <w:rPr>
          <w:color w:val="auto"/>
          <w:highlight w:val="none"/>
        </w:rPr>
      </w:r>
      <w:r/>
    </w:p>
    <w:p>
      <w:pPr>
        <w:pStyle w:val="873"/>
        <w:ind w:firstLine="480"/>
        <w:spacing w:line="48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1.供应商提出质疑，应提交《质疑函》和必要的证明材料。</w:t>
      </w:r>
      <w:r>
        <w:rPr>
          <w:color w:val="auto"/>
          <w:highlight w:val="none"/>
        </w:rPr>
      </w:r>
      <w:r/>
    </w:p>
    <w:p>
      <w:pPr>
        <w:pStyle w:val="873"/>
        <w:ind w:firstLine="480"/>
        <w:spacing w:line="48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2.</w:t>
      </w:r>
      <w:r>
        <w:rPr>
          <w:rFonts w:hint="eastAsia" w:ascii="宋体" w:hAnsi="宋体" w:cs="仿宋"/>
          <w:b/>
          <w:bCs/>
          <w:color w:val="auto"/>
          <w:sz w:val="24"/>
          <w:szCs w:val="24"/>
          <w:highlight w:val="none"/>
        </w:rPr>
        <w:t xml:space="preserve">由授权代表负责质疑事宜的，《质疑函》附件中应提交由质疑供应商法定代表人或主要负责人签署的《授权委托书》。</w:t>
      </w:r>
      <w:r>
        <w:rPr>
          <w:color w:val="auto"/>
          <w:highlight w:val="none"/>
        </w:rPr>
      </w:r>
      <w:r/>
    </w:p>
    <w:p>
      <w:pPr>
        <w:pStyle w:val="873"/>
        <w:ind w:firstLine="480"/>
        <w:spacing w:line="48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3.质疑供应商针对项目的某一采购包进行质疑的，《质疑函》中应明确采购包号。</w:t>
      </w:r>
      <w:r>
        <w:rPr>
          <w:color w:val="auto"/>
          <w:highlight w:val="none"/>
        </w:rPr>
      </w:r>
      <w:r/>
    </w:p>
    <w:p>
      <w:pPr>
        <w:pStyle w:val="873"/>
        <w:ind w:firstLine="480"/>
        <w:spacing w:line="48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4.《质疑函》的质疑事项应具体、明确，并有必要的事实依据和法律依据。</w:t>
      </w:r>
      <w:r>
        <w:rPr>
          <w:color w:val="auto"/>
          <w:highlight w:val="none"/>
        </w:rPr>
      </w:r>
      <w:r/>
    </w:p>
    <w:p>
      <w:pPr>
        <w:pStyle w:val="873"/>
        <w:ind w:firstLine="480"/>
        <w:spacing w:line="48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5.《质疑函》的质疑请求应与质疑事项相关。</w:t>
      </w:r>
      <w:r>
        <w:rPr>
          <w:color w:val="auto"/>
          <w:highlight w:val="none"/>
        </w:rPr>
      </w:r>
      <w:r/>
    </w:p>
    <w:p>
      <w:pPr>
        <w:pStyle w:val="873"/>
        <w:ind w:firstLine="480"/>
        <w:spacing w:line="48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6.质疑供应商为自然人的，《质疑函》应由本人签字；质疑供应商为法人或者其他组织的，《质疑函》应由法定代表人、主要负责人，或者其授权代表签字或者签章，并加盖公章。</w:t>
      </w:r>
      <w:r>
        <w:rPr>
          <w:color w:val="auto"/>
          <w:highlight w:val="none"/>
        </w:rPr>
      </w:r>
      <w:r/>
    </w:p>
    <w:p>
      <w:pPr>
        <w:pStyle w:val="873"/>
        <w:ind w:firstLine="480"/>
        <w:spacing w:line="48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7.质疑</w:t>
      </w:r>
      <w:r>
        <w:rPr>
          <w:rFonts w:hint="eastAsia" w:ascii="宋体" w:hAnsi="宋体" w:cs="仿宋"/>
          <w:color w:val="auto"/>
          <w:sz w:val="24"/>
          <w:szCs w:val="24"/>
          <w:highlight w:val="none"/>
          <w:lang w:val="zh-CN"/>
        </w:rPr>
        <w:t xml:space="preserve">供应商</w:t>
      </w:r>
      <w:r>
        <w:rPr>
          <w:rFonts w:hint="eastAsia" w:ascii="宋体" w:hAnsi="宋体" w:cs="仿宋"/>
          <w:color w:val="auto"/>
          <w:sz w:val="24"/>
          <w:szCs w:val="24"/>
          <w:highlight w:val="none"/>
        </w:rPr>
        <w:t xml:space="preserve">为</w:t>
      </w:r>
      <w:r>
        <w:rPr>
          <w:rFonts w:hint="eastAsia" w:ascii="宋体" w:hAnsi="宋体" w:cs="仿宋"/>
          <w:color w:val="auto"/>
          <w:sz w:val="24"/>
          <w:szCs w:val="24"/>
          <w:highlight w:val="none"/>
          <w:lang w:val="zh-CN"/>
        </w:rPr>
        <w:t xml:space="preserve">联合体</w:t>
      </w:r>
      <w:r>
        <w:rPr>
          <w:rFonts w:hint="eastAsia" w:ascii="宋体" w:hAnsi="宋体" w:cs="仿宋"/>
          <w:color w:val="auto"/>
          <w:sz w:val="24"/>
          <w:szCs w:val="24"/>
          <w:highlight w:val="none"/>
        </w:rPr>
        <w:t xml:space="preserve">的</w:t>
      </w:r>
      <w:r>
        <w:rPr>
          <w:rFonts w:hint="eastAsia" w:ascii="宋体" w:hAnsi="宋体" w:cs="仿宋"/>
          <w:color w:val="auto"/>
          <w:sz w:val="24"/>
          <w:szCs w:val="24"/>
          <w:highlight w:val="none"/>
          <w:lang w:val="zh-CN"/>
        </w:rPr>
        <w:t xml:space="preserve">，则《质疑函》中要求加盖公章之处，联合体各方均须按要求加盖公章。</w:t>
      </w:r>
      <w:r>
        <w:rPr>
          <w:color w:val="auto"/>
          <w:highlight w:val="none"/>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egoe UI">
    <w:panose1 w:val="020B0502040204020203"/>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rPr>
        <w:rStyle w:val="946"/>
        <w:rFonts w:ascii="宋体" w:hAnsi="宋体"/>
      </w:rPr>
      <w:framePr w:wrap="around" w:vAnchor="text" w:hAnchor="margin" w:xAlign="center" w:y="1"/>
    </w:pPr>
    <w:r>
      <w:rPr>
        <w:rFonts w:ascii="宋体" w:hAnsi="宋体"/>
      </w:rPr>
      <w:fldChar w:fldCharType="begin"/>
    </w:r>
    <w:r>
      <w:rPr>
        <w:rStyle w:val="946"/>
        <w:rFonts w:ascii="宋体" w:hAnsi="宋体"/>
      </w:rPr>
      <w:instrText xml:space="preserve">PAGE  </w:instrText>
    </w:r>
    <w:r>
      <w:rPr>
        <w:rFonts w:ascii="宋体" w:hAnsi="宋体"/>
      </w:rPr>
      <w:fldChar w:fldCharType="separate"/>
    </w:r>
    <w:r>
      <w:rPr>
        <w:rStyle w:val="946"/>
        <w:rFonts w:ascii="宋体" w:hAnsi="宋体"/>
      </w:rPr>
      <w:t xml:space="preserve">３５</w:t>
    </w:r>
    <w:r>
      <w:rPr>
        <w:rFonts w:ascii="宋体" w:hAnsi="宋体"/>
      </w:rPr>
      <w:fldChar w:fldCharType="end"/>
    </w:r>
    <w:r>
      <w:rPr>
        <w:rStyle w:val="946"/>
        <w:rFonts w:ascii="宋体" w:hAnsi="宋体"/>
      </w:rPr>
    </w:r>
    <w:r/>
  </w:p>
  <w:p>
    <w:pPr>
      <w:pStyle w:val="921"/>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rPr>
        <w:rStyle w:val="946"/>
      </w:rPr>
      <w:framePr w:wrap="around" w:vAnchor="text" w:hAnchor="margin" w:xAlign="center" w:y="1"/>
    </w:pPr>
    <w:r>
      <w:fldChar w:fldCharType="begin"/>
    </w:r>
    <w:r>
      <w:rPr>
        <w:rStyle w:val="946"/>
      </w:rPr>
      <w:instrText xml:space="preserve">PAGE  </w:instrText>
    </w:r>
    <w:r>
      <w:fldChar w:fldCharType="separate"/>
    </w:r>
    <w:r>
      <w:rPr>
        <w:rStyle w:val="946"/>
      </w:rPr>
      <w:t xml:space="preserve">1</w:t>
    </w:r>
    <w:r>
      <w:fldChar w:fldCharType="end"/>
    </w:r>
    <w:r>
      <w:rPr>
        <w:rStyle w:val="946"/>
      </w:rPr>
    </w:r>
    <w:r/>
  </w:p>
  <w:p>
    <w:pPr>
      <w:pStyle w:val="92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73"/>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73"/>
        <w:ind w:left="1440" w:hanging="360"/>
      </w:pPr>
      <w:rPr>
        <w:rFonts w:ascii="Courier New" w:hAnsi="Courier New" w:eastAsia="Courier New" w:cs="Courier New"/>
      </w:rPr>
    </w:lvl>
    <w:lvl w:ilvl="2">
      <w:start w:val="1"/>
      <w:numFmt w:val="bullet"/>
      <w:isLgl w:val="false"/>
      <w:suff w:val="tab"/>
      <w:lvlText w:val="§"/>
      <w:lvlJc w:val="left"/>
      <w:pPr>
        <w:pStyle w:val="873"/>
        <w:ind w:left="2160" w:hanging="360"/>
      </w:pPr>
      <w:rPr>
        <w:rFonts w:ascii="Wingdings" w:hAnsi="Wingdings" w:eastAsia="Wingdings" w:cs="Wingdings"/>
      </w:rPr>
    </w:lvl>
    <w:lvl w:ilvl="3">
      <w:start w:val="1"/>
      <w:numFmt w:val="bullet"/>
      <w:isLgl w:val="false"/>
      <w:suff w:val="tab"/>
      <w:lvlText w:val="·"/>
      <w:lvlJc w:val="left"/>
      <w:pPr>
        <w:pStyle w:val="873"/>
        <w:ind w:left="2880" w:hanging="360"/>
      </w:pPr>
      <w:rPr>
        <w:rFonts w:ascii="Symbol" w:hAnsi="Symbol" w:eastAsia="Symbol" w:cs="Symbol"/>
      </w:rPr>
    </w:lvl>
    <w:lvl w:ilvl="4">
      <w:start w:val="1"/>
      <w:numFmt w:val="bullet"/>
      <w:isLgl w:val="false"/>
      <w:suff w:val="tab"/>
      <w:lvlText w:val="o"/>
      <w:lvlJc w:val="left"/>
      <w:pPr>
        <w:pStyle w:val="873"/>
        <w:ind w:left="3600" w:hanging="360"/>
      </w:pPr>
      <w:rPr>
        <w:rFonts w:ascii="Courier New" w:hAnsi="Courier New" w:eastAsia="Courier New" w:cs="Courier New"/>
      </w:rPr>
    </w:lvl>
    <w:lvl w:ilvl="5">
      <w:start w:val="1"/>
      <w:numFmt w:val="bullet"/>
      <w:isLgl w:val="false"/>
      <w:suff w:val="tab"/>
      <w:lvlText w:val="§"/>
      <w:lvlJc w:val="left"/>
      <w:pPr>
        <w:pStyle w:val="873"/>
        <w:ind w:left="4320" w:hanging="360"/>
      </w:pPr>
      <w:rPr>
        <w:rFonts w:ascii="Wingdings" w:hAnsi="Wingdings" w:eastAsia="Wingdings" w:cs="Wingdings"/>
      </w:rPr>
    </w:lvl>
    <w:lvl w:ilvl="6">
      <w:start w:val="1"/>
      <w:numFmt w:val="bullet"/>
      <w:isLgl w:val="false"/>
      <w:suff w:val="tab"/>
      <w:lvlText w:val="·"/>
      <w:lvlJc w:val="left"/>
      <w:pPr>
        <w:pStyle w:val="873"/>
        <w:ind w:left="5040" w:hanging="360"/>
      </w:pPr>
      <w:rPr>
        <w:rFonts w:ascii="Symbol" w:hAnsi="Symbol" w:eastAsia="Symbol" w:cs="Symbol"/>
      </w:rPr>
    </w:lvl>
    <w:lvl w:ilvl="7">
      <w:start w:val="1"/>
      <w:numFmt w:val="bullet"/>
      <w:isLgl w:val="false"/>
      <w:suff w:val="tab"/>
      <w:lvlText w:val="o"/>
      <w:lvlJc w:val="left"/>
      <w:pPr>
        <w:pStyle w:val="873"/>
        <w:ind w:left="5760" w:hanging="360"/>
      </w:pPr>
      <w:rPr>
        <w:rFonts w:ascii="Courier New" w:hAnsi="Courier New" w:eastAsia="Courier New" w:cs="Courier New"/>
      </w:rPr>
    </w:lvl>
    <w:lvl w:ilvl="8">
      <w:start w:val="1"/>
      <w:numFmt w:val="bullet"/>
      <w:isLgl w:val="false"/>
      <w:suff w:val="tab"/>
      <w:lvlText w:val="§"/>
      <w:lvlJc w:val="left"/>
      <w:pPr>
        <w:pStyle w:val="873"/>
        <w:ind w:left="6480" w:hanging="360"/>
      </w:pPr>
      <w:rPr>
        <w:rFonts w:ascii="Wingdings" w:hAnsi="Wingdings" w:eastAsia="Wingdings" w:cs="Wingdings"/>
      </w:rPr>
    </w:lvl>
  </w:abstractNum>
  <w:abstractNum w:abstractNumId="1">
    <w:multiLevelType w:val="hybridMultilevel"/>
    <w:lvl w:ilvl="0">
      <w:start w:val="3"/>
      <w:numFmt w:val="upperLetter"/>
      <w:isLgl w:val="false"/>
      <w:suff w:val="nothing"/>
      <w:lvlText w:val="%1、"/>
      <w:lvlJc w:val="left"/>
      <w:pPr>
        <w:pStyle w:val="873"/>
        <w:ind w:left="0" w:firstLine="0"/>
      </w:pPr>
    </w:lvl>
    <w:lvl w:ilvl="1">
      <w:start w:val="1"/>
      <w:numFmt w:val="decimal"/>
      <w:isLgl w:val="false"/>
      <w:suff w:val="tab"/>
      <w:lvlText w:val="%2."/>
      <w:lvlJc w:val="left"/>
      <w:pPr>
        <w:pStyle w:val="873"/>
        <w:ind w:left="1440" w:hanging="360"/>
        <w:tabs>
          <w:tab w:val="num" w:pos="1440" w:leader="none"/>
        </w:tabs>
      </w:pPr>
    </w:lvl>
    <w:lvl w:ilvl="2">
      <w:start w:val="1"/>
      <w:numFmt w:val="decimal"/>
      <w:isLgl w:val="false"/>
      <w:suff w:val="tab"/>
      <w:lvlText w:val="%3."/>
      <w:lvlJc w:val="left"/>
      <w:pPr>
        <w:pStyle w:val="873"/>
        <w:ind w:left="2160" w:hanging="360"/>
        <w:tabs>
          <w:tab w:val="num" w:pos="2160" w:leader="none"/>
        </w:tabs>
      </w:pPr>
    </w:lvl>
    <w:lvl w:ilvl="3">
      <w:start w:val="1"/>
      <w:numFmt w:val="decimal"/>
      <w:isLgl w:val="false"/>
      <w:suff w:val="tab"/>
      <w:lvlText w:val="%4."/>
      <w:lvlJc w:val="left"/>
      <w:pPr>
        <w:pStyle w:val="873"/>
        <w:ind w:left="2880" w:hanging="360"/>
        <w:tabs>
          <w:tab w:val="num" w:pos="2880" w:leader="none"/>
        </w:tabs>
      </w:pPr>
    </w:lvl>
    <w:lvl w:ilvl="4">
      <w:start w:val="1"/>
      <w:numFmt w:val="decimal"/>
      <w:isLgl w:val="false"/>
      <w:suff w:val="tab"/>
      <w:lvlText w:val="%5."/>
      <w:lvlJc w:val="left"/>
      <w:pPr>
        <w:pStyle w:val="873"/>
        <w:ind w:left="3600" w:hanging="360"/>
        <w:tabs>
          <w:tab w:val="num" w:pos="3600" w:leader="none"/>
        </w:tabs>
      </w:pPr>
    </w:lvl>
    <w:lvl w:ilvl="5">
      <w:start w:val="1"/>
      <w:numFmt w:val="decimal"/>
      <w:isLgl w:val="false"/>
      <w:suff w:val="tab"/>
      <w:lvlText w:val="%6."/>
      <w:lvlJc w:val="left"/>
      <w:pPr>
        <w:pStyle w:val="873"/>
        <w:ind w:left="4320" w:hanging="360"/>
        <w:tabs>
          <w:tab w:val="num" w:pos="4320" w:leader="none"/>
        </w:tabs>
      </w:pPr>
    </w:lvl>
    <w:lvl w:ilvl="6">
      <w:start w:val="1"/>
      <w:numFmt w:val="decimal"/>
      <w:isLgl w:val="false"/>
      <w:suff w:val="tab"/>
      <w:lvlText w:val="%7."/>
      <w:lvlJc w:val="left"/>
      <w:pPr>
        <w:pStyle w:val="873"/>
        <w:ind w:left="5040" w:hanging="360"/>
        <w:tabs>
          <w:tab w:val="num" w:pos="5040" w:leader="none"/>
        </w:tabs>
      </w:pPr>
    </w:lvl>
    <w:lvl w:ilvl="7">
      <w:start w:val="1"/>
      <w:numFmt w:val="decimal"/>
      <w:isLgl w:val="false"/>
      <w:suff w:val="tab"/>
      <w:lvlText w:val="%8."/>
      <w:lvlJc w:val="left"/>
      <w:pPr>
        <w:pStyle w:val="873"/>
        <w:ind w:left="5760" w:hanging="360"/>
        <w:tabs>
          <w:tab w:val="num" w:pos="5760" w:leader="none"/>
        </w:tabs>
      </w:pPr>
    </w:lvl>
    <w:lvl w:ilvl="8">
      <w:start w:val="1"/>
      <w:numFmt w:val="decimal"/>
      <w:isLgl w:val="false"/>
      <w:suff w:val="tab"/>
      <w:lvlText w:val="%9."/>
      <w:lvlJc w:val="left"/>
      <w:pPr>
        <w:pStyle w:val="873"/>
        <w:ind w:left="6480" w:hanging="360"/>
        <w:tabs>
          <w:tab w:val="num" w:pos="6480" w:leader="none"/>
        </w:tabs>
      </w:pPr>
    </w:lvl>
  </w:abstractNum>
  <w:abstractNum w:abstractNumId="2">
    <w:multiLevelType w:val="hybridMultilevel"/>
    <w:lvl w:ilvl="0">
      <w:start w:val="1"/>
      <w:numFmt w:val="upperLetter"/>
      <w:pStyle w:val="957"/>
      <w:isLgl w:val="false"/>
      <w:suff w:val="tab"/>
      <w:lvlText w:val="附录%1."/>
      <w:lvlJc w:val="left"/>
      <w:pPr>
        <w:pStyle w:val="87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74"/>
      <w:isLgl w:val="false"/>
      <w:suff w:val="tab"/>
      <w:lvlText w:val="%1."/>
      <w:lvlJc w:val="left"/>
      <w:pPr>
        <w:pStyle w:val="873"/>
        <w:ind w:left="709" w:hanging="709"/>
        <w:tabs>
          <w:tab w:val="num" w:pos="709" w:leader="none"/>
        </w:tabs>
      </w:pPr>
      <w:rPr>
        <w:rFonts w:hint="eastAsia"/>
      </w:rPr>
    </w:lvl>
    <w:lvl w:ilvl="1">
      <w:start w:val="1"/>
      <w:numFmt w:val="decimal"/>
      <w:isLgl w:val="false"/>
      <w:suff w:val="tab"/>
      <w:lvlText w:val="%1.%2"/>
      <w:lvlJc w:val="left"/>
      <w:pPr>
        <w:pStyle w:val="873"/>
        <w:ind w:left="709" w:hanging="709"/>
        <w:tabs>
          <w:tab w:val="num" w:pos="709" w:leader="none"/>
        </w:tabs>
      </w:pPr>
      <w:rPr>
        <w:rFonts w:hint="eastAsia"/>
      </w:rPr>
    </w:lvl>
    <w:lvl w:ilvl="2">
      <w:start w:val="1"/>
      <w:numFmt w:val="decimal"/>
      <w:isLgl w:val="false"/>
      <w:suff w:val="tab"/>
      <w:lvlText w:val="%1.%2.%3."/>
      <w:lvlJc w:val="left"/>
      <w:pPr>
        <w:pStyle w:val="873"/>
        <w:ind w:left="425" w:hanging="425"/>
        <w:tabs>
          <w:tab w:val="num" w:pos="425" w:leader="none"/>
        </w:tabs>
      </w:pPr>
      <w:rPr>
        <w:rFonts w:hint="eastAsia"/>
      </w:rPr>
    </w:lvl>
    <w:lvl w:ilvl="3">
      <w:start w:val="1"/>
      <w:numFmt w:val="decimal"/>
      <w:isLgl w:val="false"/>
      <w:suff w:val="tab"/>
      <w:lvlText w:val="%1.%2.%3.%4."/>
      <w:lvlJc w:val="left"/>
      <w:pPr>
        <w:pStyle w:val="873"/>
        <w:ind w:left="851" w:hanging="851"/>
        <w:tabs>
          <w:tab w:val="num" w:pos="851" w:leader="none"/>
        </w:tabs>
      </w:pPr>
      <w:rPr>
        <w:rFonts w:hint="eastAsia"/>
      </w:rPr>
    </w:lvl>
    <w:lvl w:ilvl="4">
      <w:start w:val="1"/>
      <w:numFmt w:val="decimal"/>
      <w:isLgl w:val="false"/>
      <w:suff w:val="tab"/>
      <w:lvlText w:val="%1.%2.%3.%4.%5."/>
      <w:lvlJc w:val="left"/>
      <w:pPr>
        <w:pStyle w:val="873"/>
        <w:ind w:left="992" w:hanging="992"/>
        <w:tabs>
          <w:tab w:val="num" w:pos="992" w:leader="none"/>
        </w:tabs>
      </w:pPr>
      <w:rPr>
        <w:rFonts w:hint="eastAsia"/>
      </w:rPr>
    </w:lvl>
    <w:lvl w:ilvl="5">
      <w:start w:val="1"/>
      <w:numFmt w:val="decimal"/>
      <w:isLgl w:val="false"/>
      <w:suff w:val="tab"/>
      <w:lvlText w:val="%1.%2.%3.%4.%5.%6."/>
      <w:lvlJc w:val="left"/>
      <w:pPr>
        <w:pStyle w:val="873"/>
        <w:ind w:left="1134" w:hanging="1134"/>
        <w:tabs>
          <w:tab w:val="num" w:pos="1134" w:leader="none"/>
        </w:tabs>
      </w:pPr>
      <w:rPr>
        <w:rFonts w:hint="eastAsia"/>
      </w:rPr>
    </w:lvl>
    <w:lvl w:ilvl="6">
      <w:start w:val="1"/>
      <w:numFmt w:val="decimal"/>
      <w:isLgl w:val="false"/>
      <w:suff w:val="tab"/>
      <w:lvlText w:val="%1.%2.%3.%4.%5.%6.%7."/>
      <w:lvlJc w:val="left"/>
      <w:pPr>
        <w:pStyle w:val="873"/>
        <w:ind w:left="1276" w:hanging="1276"/>
        <w:tabs>
          <w:tab w:val="num" w:pos="1276" w:leader="none"/>
        </w:tabs>
      </w:pPr>
      <w:rPr>
        <w:rFonts w:hint="eastAsia"/>
      </w:rPr>
    </w:lvl>
    <w:lvl w:ilvl="7">
      <w:start w:val="1"/>
      <w:numFmt w:val="decimal"/>
      <w:isLgl w:val="false"/>
      <w:suff w:val="tab"/>
      <w:lvlText w:val="%1.%2.%3.%4.%5.%6.%7.%8."/>
      <w:lvlJc w:val="left"/>
      <w:pPr>
        <w:pStyle w:val="873"/>
        <w:ind w:left="1418" w:hanging="1418"/>
        <w:tabs>
          <w:tab w:val="num" w:pos="1418" w:leader="none"/>
        </w:tabs>
      </w:pPr>
      <w:rPr>
        <w:rFonts w:hint="eastAsia"/>
      </w:rPr>
    </w:lvl>
    <w:lvl w:ilvl="8">
      <w:start w:val="1"/>
      <w:numFmt w:val="decimal"/>
      <w:isLgl w:val="false"/>
      <w:suff w:val="tab"/>
      <w:lvlText w:val="%1.%2.%3.%4.%5.%6.%7.%8.%9."/>
      <w:lvlJc w:val="left"/>
      <w:pPr>
        <w:pStyle w:val="873"/>
        <w:ind w:left="1559" w:hanging="1559"/>
        <w:tabs>
          <w:tab w:val="num" w:pos="1559" w:leader="none"/>
        </w:tabs>
      </w:pPr>
      <w:rPr>
        <w:rFonts w:hint="eastAsia"/>
      </w:rPr>
    </w:lvl>
  </w:abstractNum>
  <w:abstractNum w:abstractNumId="4">
    <w:multiLevelType w:val="hybridMultilevel"/>
    <w:lvl w:ilvl="0">
      <w:start w:val="2"/>
      <w:numFmt w:val="decimal"/>
      <w:isLgl w:val="false"/>
      <w:suff w:val="tab"/>
      <w:lvlText w:val="%1."/>
      <w:lvlJc w:val="left"/>
      <w:pPr>
        <w:pStyle w:val="87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pStyle w:val="873"/>
        <w:ind w:left="0" w:firstLine="0"/>
      </w:pPr>
      <w:rPr>
        <w:rFonts w:hint="eastAsia"/>
      </w:rPr>
    </w:lvl>
    <w:lvl w:ilvl="1">
      <w:start w:val="1"/>
      <w:numFmt w:val="decimal"/>
      <w:isLgl w:val="false"/>
      <w:suff w:val="nothing"/>
      <w:lvlText w:val="%2、"/>
      <w:lvlJc w:val="left"/>
      <w:pPr>
        <w:pStyle w:val="873"/>
        <w:ind w:left="0" w:firstLine="0"/>
      </w:pPr>
      <w:rPr>
        <w:rFonts w:hint="eastAsia"/>
      </w:rPr>
    </w:lvl>
    <w:lvl w:ilvl="2">
      <w:start w:val="1"/>
      <w:numFmt w:val="decimal"/>
      <w:isLgl w:val="false"/>
      <w:suff w:val="nothing"/>
      <w:lvlText w:val="%2.%3 "/>
      <w:lvlJc w:val="left"/>
      <w:pPr>
        <w:pStyle w:val="873"/>
        <w:ind w:left="0" w:firstLine="0"/>
      </w:pPr>
      <w:rPr>
        <w:rFonts w:hint="eastAsia"/>
      </w:rPr>
    </w:lvl>
    <w:lvl w:ilvl="3">
      <w:start w:val="1"/>
      <w:numFmt w:val="decimal"/>
      <w:isLgl w:val="false"/>
      <w:suff w:val="nothing"/>
      <w:lvlText w:val="%2.%3.%4 "/>
      <w:lvlJc w:val="left"/>
      <w:pPr>
        <w:pStyle w:val="873"/>
        <w:ind w:left="0" w:firstLine="0"/>
      </w:pPr>
      <w:rPr>
        <w:rFonts w:hint="eastAsia"/>
      </w:rPr>
    </w:lvl>
    <w:lvl w:ilvl="4">
      <w:start w:val="1"/>
      <w:numFmt w:val="decimal"/>
      <w:isLgl w:val="false"/>
      <w:suff w:val="nothing"/>
      <w:lvlText w:val="%2.%3.%4.%5 "/>
      <w:lvlJc w:val="left"/>
      <w:pPr>
        <w:pStyle w:val="873"/>
        <w:ind w:left="0" w:firstLine="0"/>
      </w:pPr>
      <w:rPr>
        <w:rFonts w:hint="eastAsia"/>
      </w:rPr>
    </w:lvl>
    <w:lvl w:ilvl="5">
      <w:start w:val="1"/>
      <w:numFmt w:val="decimal"/>
      <w:pStyle w:val="879"/>
      <w:isLgl w:val="false"/>
      <w:suff w:val="nothing"/>
      <w:lvlText w:val=""/>
      <w:lvlJc w:val="left"/>
      <w:pPr>
        <w:pStyle w:val="873"/>
        <w:ind w:left="0" w:firstLine="0"/>
      </w:pPr>
      <w:rPr>
        <w:rFonts w:hint="eastAsia"/>
      </w:rPr>
    </w:lvl>
    <w:lvl w:ilvl="6">
      <w:start w:val="1"/>
      <w:numFmt w:val="decimal"/>
      <w:pStyle w:val="880"/>
      <w:isLgl w:val="false"/>
      <w:suff w:val="nothing"/>
      <w:lvlText w:val=""/>
      <w:lvlJc w:val="left"/>
      <w:pPr>
        <w:pStyle w:val="873"/>
        <w:ind w:left="0" w:firstLine="0"/>
      </w:pPr>
      <w:rPr>
        <w:rFonts w:hint="eastAsia"/>
      </w:rPr>
    </w:lvl>
    <w:lvl w:ilvl="7">
      <w:start w:val="1"/>
      <w:numFmt w:val="decimal"/>
      <w:pStyle w:val="881"/>
      <w:isLgl w:val="false"/>
      <w:suff w:val="nothing"/>
      <w:lvlText w:val=""/>
      <w:lvlJc w:val="left"/>
      <w:pPr>
        <w:pStyle w:val="873"/>
        <w:ind w:left="0" w:firstLine="0"/>
      </w:pPr>
      <w:rPr>
        <w:rFonts w:hint="eastAsia"/>
      </w:rPr>
    </w:lvl>
    <w:lvl w:ilvl="8">
      <w:start w:val="1"/>
      <w:numFmt w:val="decimal"/>
      <w:pStyle w:val="882"/>
      <w:isLgl w:val="false"/>
      <w:suff w:val="nothing"/>
      <w:lvlText w:val=""/>
      <w:lvlJc w:val="left"/>
      <w:pPr>
        <w:pStyle w:val="873"/>
        <w:ind w:left="0" w:firstLine="0"/>
      </w:pPr>
      <w:rPr>
        <w:rFonts w:hint="eastAsia"/>
      </w:rPr>
    </w:lvl>
  </w:abstractNum>
  <w:num w:numId="1">
    <w:abstractNumId w:val="5"/>
  </w:num>
  <w:num w:numId="2">
    <w:abstractNumId w:val="2"/>
  </w:num>
  <w:num w:numId="3">
    <w:abstractNumId w:val="3"/>
  </w:num>
  <w:num w:numId="4">
    <w:abstractNumId w:val="0"/>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5">
    <w:name w:val="Heading 1"/>
    <w:basedOn w:val="873"/>
    <w:next w:val="873"/>
    <w:link w:val="696"/>
    <w:uiPriority w:val="9"/>
    <w:qFormat/>
    <w:pPr>
      <w:keepLines/>
      <w:keepNext/>
      <w:spacing w:before="480" w:after="200"/>
      <w:outlineLvl w:val="0"/>
    </w:pPr>
    <w:rPr>
      <w:rFonts w:ascii="Arial" w:hAnsi="Arial" w:eastAsia="Arial" w:cs="Arial"/>
      <w:sz w:val="40"/>
      <w:szCs w:val="40"/>
    </w:rPr>
  </w:style>
  <w:style w:type="character" w:styleId="696">
    <w:name w:val="Heading 1 Char"/>
    <w:link w:val="695"/>
    <w:uiPriority w:val="9"/>
    <w:rPr>
      <w:rFonts w:ascii="Arial" w:hAnsi="Arial" w:eastAsia="Arial" w:cs="Arial"/>
      <w:sz w:val="40"/>
      <w:szCs w:val="40"/>
    </w:rPr>
  </w:style>
  <w:style w:type="paragraph" w:styleId="697">
    <w:name w:val="Heading 2"/>
    <w:basedOn w:val="873"/>
    <w:next w:val="873"/>
    <w:link w:val="698"/>
    <w:uiPriority w:val="9"/>
    <w:unhideWhenUsed/>
    <w:qFormat/>
    <w:pPr>
      <w:keepLines/>
      <w:keepNext/>
      <w:spacing w:before="360" w:after="200"/>
      <w:outlineLvl w:val="1"/>
    </w:pPr>
    <w:rPr>
      <w:rFonts w:ascii="Arial" w:hAnsi="Arial" w:eastAsia="Arial" w:cs="Arial"/>
      <w:sz w:val="34"/>
    </w:rPr>
  </w:style>
  <w:style w:type="character" w:styleId="698">
    <w:name w:val="Heading 2 Char"/>
    <w:link w:val="697"/>
    <w:uiPriority w:val="9"/>
    <w:rPr>
      <w:rFonts w:ascii="Arial" w:hAnsi="Arial" w:eastAsia="Arial" w:cs="Arial"/>
      <w:sz w:val="34"/>
    </w:rPr>
  </w:style>
  <w:style w:type="paragraph" w:styleId="699">
    <w:name w:val="Heading 3"/>
    <w:basedOn w:val="873"/>
    <w:next w:val="873"/>
    <w:link w:val="700"/>
    <w:uiPriority w:val="9"/>
    <w:unhideWhenUsed/>
    <w:qFormat/>
    <w:pPr>
      <w:keepLines/>
      <w:keepNext/>
      <w:spacing w:before="320" w:after="200"/>
      <w:outlineLvl w:val="2"/>
    </w:pPr>
    <w:rPr>
      <w:rFonts w:ascii="Arial" w:hAnsi="Arial" w:eastAsia="Arial" w:cs="Arial"/>
      <w:sz w:val="30"/>
      <w:szCs w:val="30"/>
    </w:rPr>
  </w:style>
  <w:style w:type="character" w:styleId="700">
    <w:name w:val="Heading 3 Char"/>
    <w:link w:val="699"/>
    <w:uiPriority w:val="9"/>
    <w:rPr>
      <w:rFonts w:ascii="Arial" w:hAnsi="Arial" w:eastAsia="Arial" w:cs="Arial"/>
      <w:sz w:val="30"/>
      <w:szCs w:val="30"/>
    </w:rPr>
  </w:style>
  <w:style w:type="paragraph" w:styleId="701">
    <w:name w:val="Heading 4"/>
    <w:basedOn w:val="873"/>
    <w:next w:val="873"/>
    <w:link w:val="702"/>
    <w:uiPriority w:val="9"/>
    <w:unhideWhenUsed/>
    <w:qFormat/>
    <w:pPr>
      <w:keepLines/>
      <w:keepNext/>
      <w:spacing w:before="320" w:after="200"/>
      <w:outlineLvl w:val="3"/>
    </w:pPr>
    <w:rPr>
      <w:rFonts w:ascii="Arial" w:hAnsi="Arial" w:eastAsia="Arial" w:cs="Arial"/>
      <w:b/>
      <w:bCs/>
      <w:sz w:val="26"/>
      <w:szCs w:val="26"/>
    </w:rPr>
  </w:style>
  <w:style w:type="character" w:styleId="702">
    <w:name w:val="Heading 4 Char"/>
    <w:link w:val="701"/>
    <w:uiPriority w:val="9"/>
    <w:rPr>
      <w:rFonts w:ascii="Arial" w:hAnsi="Arial" w:eastAsia="Arial" w:cs="Arial"/>
      <w:b/>
      <w:bCs/>
      <w:sz w:val="26"/>
      <w:szCs w:val="26"/>
    </w:rPr>
  </w:style>
  <w:style w:type="paragraph" w:styleId="703">
    <w:name w:val="Heading 5"/>
    <w:basedOn w:val="873"/>
    <w:next w:val="873"/>
    <w:link w:val="704"/>
    <w:uiPriority w:val="9"/>
    <w:unhideWhenUsed/>
    <w:qFormat/>
    <w:pPr>
      <w:keepLines/>
      <w:keepNext/>
      <w:spacing w:before="320" w:after="200"/>
      <w:outlineLvl w:val="4"/>
    </w:pPr>
    <w:rPr>
      <w:rFonts w:ascii="Arial" w:hAnsi="Arial" w:eastAsia="Arial" w:cs="Arial"/>
      <w:b/>
      <w:bCs/>
      <w:sz w:val="24"/>
      <w:szCs w:val="24"/>
    </w:rPr>
  </w:style>
  <w:style w:type="character" w:styleId="704">
    <w:name w:val="Heading 5 Char"/>
    <w:link w:val="703"/>
    <w:uiPriority w:val="9"/>
    <w:rPr>
      <w:rFonts w:ascii="Arial" w:hAnsi="Arial" w:eastAsia="Arial" w:cs="Arial"/>
      <w:b/>
      <w:bCs/>
      <w:sz w:val="24"/>
      <w:szCs w:val="24"/>
    </w:rPr>
  </w:style>
  <w:style w:type="paragraph" w:styleId="705">
    <w:name w:val="Heading 6"/>
    <w:basedOn w:val="873"/>
    <w:next w:val="873"/>
    <w:link w:val="706"/>
    <w:uiPriority w:val="9"/>
    <w:unhideWhenUsed/>
    <w:qFormat/>
    <w:pPr>
      <w:keepLines/>
      <w:keepNext/>
      <w:spacing w:before="320" w:after="200"/>
      <w:outlineLvl w:val="5"/>
    </w:pPr>
    <w:rPr>
      <w:rFonts w:ascii="Arial" w:hAnsi="Arial" w:eastAsia="Arial" w:cs="Arial"/>
      <w:b/>
      <w:bCs/>
      <w:sz w:val="22"/>
      <w:szCs w:val="22"/>
    </w:rPr>
  </w:style>
  <w:style w:type="character" w:styleId="706">
    <w:name w:val="Heading 6 Char"/>
    <w:link w:val="705"/>
    <w:uiPriority w:val="9"/>
    <w:rPr>
      <w:rFonts w:ascii="Arial" w:hAnsi="Arial" w:eastAsia="Arial" w:cs="Arial"/>
      <w:b/>
      <w:bCs/>
      <w:sz w:val="22"/>
      <w:szCs w:val="22"/>
    </w:rPr>
  </w:style>
  <w:style w:type="paragraph" w:styleId="707">
    <w:name w:val="Heading 7"/>
    <w:basedOn w:val="873"/>
    <w:next w:val="873"/>
    <w:link w:val="708"/>
    <w:uiPriority w:val="9"/>
    <w:unhideWhenUsed/>
    <w:qFormat/>
    <w:pPr>
      <w:keepLines/>
      <w:keepNext/>
      <w:spacing w:before="320" w:after="200"/>
      <w:outlineLvl w:val="6"/>
    </w:pPr>
    <w:rPr>
      <w:rFonts w:ascii="Arial" w:hAnsi="Arial" w:eastAsia="Arial" w:cs="Arial"/>
      <w:b/>
      <w:bCs/>
      <w:i/>
      <w:iCs/>
      <w:sz w:val="22"/>
      <w:szCs w:val="22"/>
    </w:rPr>
  </w:style>
  <w:style w:type="character" w:styleId="708">
    <w:name w:val="Heading 7 Char"/>
    <w:link w:val="707"/>
    <w:uiPriority w:val="9"/>
    <w:rPr>
      <w:rFonts w:ascii="Arial" w:hAnsi="Arial" w:eastAsia="Arial" w:cs="Arial"/>
      <w:b/>
      <w:bCs/>
      <w:i/>
      <w:iCs/>
      <w:sz w:val="22"/>
      <w:szCs w:val="22"/>
    </w:rPr>
  </w:style>
  <w:style w:type="paragraph" w:styleId="709">
    <w:name w:val="Heading 8"/>
    <w:basedOn w:val="873"/>
    <w:next w:val="873"/>
    <w:link w:val="710"/>
    <w:uiPriority w:val="9"/>
    <w:unhideWhenUsed/>
    <w:qFormat/>
    <w:pPr>
      <w:keepLines/>
      <w:keepNext/>
      <w:spacing w:before="320" w:after="200"/>
      <w:outlineLvl w:val="7"/>
    </w:pPr>
    <w:rPr>
      <w:rFonts w:ascii="Arial" w:hAnsi="Arial" w:eastAsia="Arial" w:cs="Arial"/>
      <w:i/>
      <w:iCs/>
      <w:sz w:val="22"/>
      <w:szCs w:val="22"/>
    </w:rPr>
  </w:style>
  <w:style w:type="character" w:styleId="710">
    <w:name w:val="Heading 8 Char"/>
    <w:link w:val="709"/>
    <w:uiPriority w:val="9"/>
    <w:rPr>
      <w:rFonts w:ascii="Arial" w:hAnsi="Arial" w:eastAsia="Arial" w:cs="Arial"/>
      <w:i/>
      <w:iCs/>
      <w:sz w:val="22"/>
      <w:szCs w:val="22"/>
    </w:rPr>
  </w:style>
  <w:style w:type="paragraph" w:styleId="711">
    <w:name w:val="Heading 9"/>
    <w:basedOn w:val="873"/>
    <w:next w:val="873"/>
    <w:link w:val="712"/>
    <w:uiPriority w:val="9"/>
    <w:unhideWhenUsed/>
    <w:qFormat/>
    <w:pPr>
      <w:keepLines/>
      <w:keepNext/>
      <w:spacing w:before="320" w:after="200"/>
      <w:outlineLvl w:val="8"/>
    </w:pPr>
    <w:rPr>
      <w:rFonts w:ascii="Arial" w:hAnsi="Arial" w:eastAsia="Arial" w:cs="Arial"/>
      <w:i/>
      <w:iCs/>
      <w:sz w:val="21"/>
      <w:szCs w:val="21"/>
    </w:rPr>
  </w:style>
  <w:style w:type="character" w:styleId="712">
    <w:name w:val="Heading 9 Char"/>
    <w:link w:val="711"/>
    <w:uiPriority w:val="9"/>
    <w:rPr>
      <w:rFonts w:ascii="Arial" w:hAnsi="Arial" w:eastAsia="Arial" w:cs="Arial"/>
      <w:i/>
      <w:iCs/>
      <w:sz w:val="21"/>
      <w:szCs w:val="21"/>
    </w:rPr>
  </w:style>
  <w:style w:type="paragraph" w:styleId="713">
    <w:name w:val="List Paragraph"/>
    <w:basedOn w:val="873"/>
    <w:uiPriority w:val="34"/>
    <w:qFormat/>
    <w:pPr>
      <w:contextualSpacing/>
      <w:ind w:left="720"/>
    </w:pPr>
  </w:style>
  <w:style w:type="paragraph" w:styleId="714">
    <w:name w:val="No Spacing"/>
    <w:uiPriority w:val="1"/>
    <w:qFormat/>
    <w:pPr>
      <w:spacing w:before="0" w:after="0" w:line="240" w:lineRule="auto"/>
    </w:pPr>
  </w:style>
  <w:style w:type="paragraph" w:styleId="715">
    <w:name w:val="Title"/>
    <w:basedOn w:val="873"/>
    <w:next w:val="873"/>
    <w:link w:val="716"/>
    <w:uiPriority w:val="10"/>
    <w:qFormat/>
    <w:pPr>
      <w:contextualSpacing/>
      <w:spacing w:before="300" w:after="200"/>
    </w:pPr>
    <w:rPr>
      <w:sz w:val="48"/>
      <w:szCs w:val="48"/>
    </w:rPr>
  </w:style>
  <w:style w:type="character" w:styleId="716">
    <w:name w:val="Title Char"/>
    <w:link w:val="715"/>
    <w:uiPriority w:val="10"/>
    <w:rPr>
      <w:sz w:val="48"/>
      <w:szCs w:val="48"/>
    </w:rPr>
  </w:style>
  <w:style w:type="paragraph" w:styleId="717">
    <w:name w:val="Subtitle"/>
    <w:basedOn w:val="873"/>
    <w:next w:val="873"/>
    <w:link w:val="718"/>
    <w:uiPriority w:val="11"/>
    <w:qFormat/>
    <w:pPr>
      <w:spacing w:before="200" w:after="200"/>
    </w:pPr>
    <w:rPr>
      <w:sz w:val="24"/>
      <w:szCs w:val="24"/>
    </w:rPr>
  </w:style>
  <w:style w:type="character" w:styleId="718">
    <w:name w:val="Subtitle Char"/>
    <w:link w:val="717"/>
    <w:uiPriority w:val="11"/>
    <w:rPr>
      <w:sz w:val="24"/>
      <w:szCs w:val="24"/>
    </w:rPr>
  </w:style>
  <w:style w:type="paragraph" w:styleId="719">
    <w:name w:val="Quote"/>
    <w:basedOn w:val="873"/>
    <w:next w:val="873"/>
    <w:link w:val="720"/>
    <w:uiPriority w:val="29"/>
    <w:qFormat/>
    <w:pPr>
      <w:ind w:left="720" w:right="720"/>
    </w:pPr>
    <w:rPr>
      <w:i/>
    </w:rPr>
  </w:style>
  <w:style w:type="character" w:styleId="720">
    <w:name w:val="Quote Char"/>
    <w:link w:val="719"/>
    <w:uiPriority w:val="29"/>
    <w:rPr>
      <w:i/>
    </w:rPr>
  </w:style>
  <w:style w:type="paragraph" w:styleId="721">
    <w:name w:val="Intense Quote"/>
    <w:basedOn w:val="873"/>
    <w:next w:val="873"/>
    <w:link w:val="7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name w:val="Intense Quote Char"/>
    <w:link w:val="721"/>
    <w:uiPriority w:val="30"/>
    <w:rPr>
      <w:i/>
    </w:rPr>
  </w:style>
  <w:style w:type="paragraph" w:styleId="723">
    <w:name w:val="Header"/>
    <w:basedOn w:val="873"/>
    <w:link w:val="724"/>
    <w:uiPriority w:val="99"/>
    <w:unhideWhenUsed/>
    <w:pPr>
      <w:spacing w:after="0" w:line="240" w:lineRule="auto"/>
      <w:tabs>
        <w:tab w:val="center" w:pos="7143" w:leader="none"/>
        <w:tab w:val="right" w:pos="14287" w:leader="none"/>
      </w:tabs>
    </w:pPr>
  </w:style>
  <w:style w:type="character" w:styleId="724">
    <w:name w:val="Header Char"/>
    <w:link w:val="723"/>
    <w:uiPriority w:val="99"/>
  </w:style>
  <w:style w:type="paragraph" w:styleId="725">
    <w:name w:val="Footer"/>
    <w:basedOn w:val="873"/>
    <w:link w:val="728"/>
    <w:uiPriority w:val="99"/>
    <w:unhideWhenUsed/>
    <w:pPr>
      <w:spacing w:after="0" w:line="240" w:lineRule="auto"/>
      <w:tabs>
        <w:tab w:val="center" w:pos="7143" w:leader="none"/>
        <w:tab w:val="right" w:pos="14287" w:leader="none"/>
      </w:tabs>
    </w:pPr>
  </w:style>
  <w:style w:type="character" w:styleId="726">
    <w:name w:val="Footer Char"/>
    <w:link w:val="725"/>
    <w:uiPriority w:val="99"/>
  </w:style>
  <w:style w:type="paragraph" w:styleId="727">
    <w:name w:val="Caption"/>
    <w:basedOn w:val="873"/>
    <w:next w:val="873"/>
    <w:uiPriority w:val="35"/>
    <w:semiHidden/>
    <w:unhideWhenUsed/>
    <w:qFormat/>
    <w:pPr>
      <w:spacing w:line="276" w:lineRule="auto"/>
    </w:pPr>
    <w:rPr>
      <w:b/>
      <w:bCs/>
      <w:color w:val="4f81bd" w:themeColor="accent1"/>
      <w:sz w:val="18"/>
      <w:szCs w:val="18"/>
    </w:rPr>
  </w:style>
  <w:style w:type="character" w:styleId="728">
    <w:name w:val="Caption Char"/>
    <w:basedOn w:val="727"/>
    <w:link w:val="725"/>
    <w:uiPriority w:val="99"/>
  </w:style>
  <w:style w:type="table" w:styleId="72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5">
    <w:name w:val="Hyperlink"/>
    <w:uiPriority w:val="99"/>
    <w:unhideWhenUsed/>
    <w:rPr>
      <w:color w:val="0000ff" w:themeColor="hyperlink"/>
      <w:u w:val="single"/>
    </w:rPr>
  </w:style>
  <w:style w:type="paragraph" w:styleId="856">
    <w:name w:val="footnote text"/>
    <w:basedOn w:val="873"/>
    <w:link w:val="857"/>
    <w:uiPriority w:val="99"/>
    <w:semiHidden/>
    <w:unhideWhenUsed/>
    <w:pPr>
      <w:spacing w:after="40" w:line="240" w:lineRule="auto"/>
    </w:pPr>
    <w:rPr>
      <w:sz w:val="18"/>
    </w:rPr>
  </w:style>
  <w:style w:type="character" w:styleId="857">
    <w:name w:val="Footnote Text Char"/>
    <w:link w:val="856"/>
    <w:uiPriority w:val="99"/>
    <w:rPr>
      <w:sz w:val="18"/>
    </w:rPr>
  </w:style>
  <w:style w:type="character" w:styleId="858">
    <w:name w:val="footnote reference"/>
    <w:uiPriority w:val="99"/>
    <w:unhideWhenUsed/>
    <w:rPr>
      <w:vertAlign w:val="superscript"/>
    </w:rPr>
  </w:style>
  <w:style w:type="paragraph" w:styleId="859">
    <w:name w:val="endnote text"/>
    <w:basedOn w:val="873"/>
    <w:link w:val="860"/>
    <w:uiPriority w:val="99"/>
    <w:semiHidden/>
    <w:unhideWhenUsed/>
    <w:pPr>
      <w:spacing w:after="0" w:line="240" w:lineRule="auto"/>
    </w:pPr>
    <w:rPr>
      <w:sz w:val="20"/>
    </w:rPr>
  </w:style>
  <w:style w:type="character" w:styleId="860">
    <w:name w:val="Endnote Text Char"/>
    <w:link w:val="859"/>
    <w:uiPriority w:val="99"/>
    <w:rPr>
      <w:sz w:val="20"/>
    </w:rPr>
  </w:style>
  <w:style w:type="character" w:styleId="861">
    <w:name w:val="endnote reference"/>
    <w:uiPriority w:val="99"/>
    <w:semiHidden/>
    <w:unhideWhenUsed/>
    <w:rPr>
      <w:vertAlign w:val="superscript"/>
    </w:rPr>
  </w:style>
  <w:style w:type="paragraph" w:styleId="862">
    <w:name w:val="toc 1"/>
    <w:basedOn w:val="873"/>
    <w:next w:val="873"/>
    <w:uiPriority w:val="39"/>
    <w:unhideWhenUsed/>
    <w:pPr>
      <w:ind w:left="0" w:right="0" w:firstLine="0"/>
      <w:spacing w:after="57"/>
    </w:pPr>
  </w:style>
  <w:style w:type="paragraph" w:styleId="863">
    <w:name w:val="toc 2"/>
    <w:basedOn w:val="873"/>
    <w:next w:val="873"/>
    <w:uiPriority w:val="39"/>
    <w:unhideWhenUsed/>
    <w:pPr>
      <w:ind w:left="283" w:right="0" w:firstLine="0"/>
      <w:spacing w:after="57"/>
    </w:pPr>
  </w:style>
  <w:style w:type="paragraph" w:styleId="864">
    <w:name w:val="toc 3"/>
    <w:basedOn w:val="873"/>
    <w:next w:val="873"/>
    <w:uiPriority w:val="39"/>
    <w:unhideWhenUsed/>
    <w:pPr>
      <w:ind w:left="567" w:right="0" w:firstLine="0"/>
      <w:spacing w:after="57"/>
    </w:pPr>
  </w:style>
  <w:style w:type="paragraph" w:styleId="865">
    <w:name w:val="toc 4"/>
    <w:basedOn w:val="873"/>
    <w:next w:val="873"/>
    <w:uiPriority w:val="39"/>
    <w:unhideWhenUsed/>
    <w:pPr>
      <w:ind w:left="850" w:right="0" w:firstLine="0"/>
      <w:spacing w:after="57"/>
    </w:pPr>
  </w:style>
  <w:style w:type="paragraph" w:styleId="866">
    <w:name w:val="toc 5"/>
    <w:basedOn w:val="873"/>
    <w:next w:val="873"/>
    <w:uiPriority w:val="39"/>
    <w:unhideWhenUsed/>
    <w:pPr>
      <w:ind w:left="1134" w:right="0" w:firstLine="0"/>
      <w:spacing w:after="57"/>
    </w:pPr>
  </w:style>
  <w:style w:type="paragraph" w:styleId="867">
    <w:name w:val="toc 6"/>
    <w:basedOn w:val="873"/>
    <w:next w:val="873"/>
    <w:uiPriority w:val="39"/>
    <w:unhideWhenUsed/>
    <w:pPr>
      <w:ind w:left="1417" w:right="0" w:firstLine="0"/>
      <w:spacing w:after="57"/>
    </w:pPr>
  </w:style>
  <w:style w:type="paragraph" w:styleId="868">
    <w:name w:val="toc 7"/>
    <w:basedOn w:val="873"/>
    <w:next w:val="873"/>
    <w:uiPriority w:val="39"/>
    <w:unhideWhenUsed/>
    <w:pPr>
      <w:ind w:left="1701" w:right="0" w:firstLine="0"/>
      <w:spacing w:after="57"/>
    </w:pPr>
  </w:style>
  <w:style w:type="paragraph" w:styleId="869">
    <w:name w:val="toc 8"/>
    <w:basedOn w:val="873"/>
    <w:next w:val="873"/>
    <w:uiPriority w:val="39"/>
    <w:unhideWhenUsed/>
    <w:pPr>
      <w:ind w:left="1984" w:right="0" w:firstLine="0"/>
      <w:spacing w:after="57"/>
    </w:pPr>
  </w:style>
  <w:style w:type="paragraph" w:styleId="870">
    <w:name w:val="toc 9"/>
    <w:basedOn w:val="873"/>
    <w:next w:val="873"/>
    <w:uiPriority w:val="39"/>
    <w:unhideWhenUsed/>
    <w:pPr>
      <w:ind w:left="2268" w:right="0" w:firstLine="0"/>
      <w:spacing w:after="57"/>
    </w:pPr>
  </w:style>
  <w:style w:type="paragraph" w:styleId="871">
    <w:name w:val="TOC Heading"/>
    <w:uiPriority w:val="39"/>
    <w:unhideWhenUsed/>
  </w:style>
  <w:style w:type="paragraph" w:styleId="872">
    <w:name w:val="table of figures"/>
    <w:basedOn w:val="873"/>
    <w:next w:val="873"/>
    <w:uiPriority w:val="99"/>
    <w:unhideWhenUsed/>
    <w:pPr>
      <w:spacing w:after="0" w:afterAutospacing="0"/>
    </w:pPr>
  </w:style>
  <w:style w:type="paragraph" w:styleId="873" w:default="1">
    <w:name w:val="Normal"/>
    <w:next w:val="873"/>
    <w:link w:val="873"/>
    <w:qFormat/>
    <w:pPr>
      <w:jc w:val="both"/>
      <w:widowControl w:val="off"/>
    </w:pPr>
    <w:rPr>
      <w:sz w:val="21"/>
      <w:szCs w:val="21"/>
      <w:lang w:val="en-US" w:eastAsia="zh-CN" w:bidi="ar-SA"/>
    </w:rPr>
  </w:style>
  <w:style w:type="paragraph" w:styleId="874">
    <w:name w:val="标题 1"/>
    <w:basedOn w:val="873"/>
    <w:next w:val="873"/>
    <w:link w:val="885"/>
    <w:qFormat/>
    <w:pPr>
      <w:jc w:val="center"/>
      <w:keepNext/>
      <w:outlineLvl w:val="0"/>
    </w:pPr>
    <w:rPr>
      <w:rFonts w:ascii="楷体_GB2312" w:eastAsia="楷体_GB2312"/>
      <w:sz w:val="28"/>
      <w:szCs w:val="28"/>
    </w:rPr>
  </w:style>
  <w:style w:type="paragraph" w:styleId="875">
    <w:name w:val="标题 2"/>
    <w:basedOn w:val="873"/>
    <w:next w:val="887"/>
    <w:link w:val="886"/>
    <w:qFormat/>
    <w:pPr>
      <w:jc w:val="center"/>
      <w:keepLines/>
      <w:keepNext/>
      <w:spacing w:before="260" w:after="260" w:line="416" w:lineRule="auto"/>
      <w:outlineLvl w:val="1"/>
    </w:pPr>
    <w:rPr>
      <w:rFonts w:ascii="Arial" w:hAnsi="Arial" w:eastAsia="幼圆" w:cs="Arial"/>
      <w:b/>
      <w:bCs/>
      <w:sz w:val="44"/>
      <w:szCs w:val="44"/>
    </w:rPr>
  </w:style>
  <w:style w:type="paragraph" w:styleId="876">
    <w:name w:val="标题 3"/>
    <w:basedOn w:val="873"/>
    <w:next w:val="887"/>
    <w:link w:val="889"/>
    <w:qFormat/>
    <w:pPr>
      <w:keepLines/>
      <w:keepNext/>
      <w:spacing w:before="260" w:after="260" w:line="416" w:lineRule="auto"/>
      <w:outlineLvl w:val="2"/>
    </w:pPr>
    <w:rPr>
      <w:b/>
      <w:bCs/>
      <w:sz w:val="32"/>
      <w:szCs w:val="32"/>
    </w:rPr>
  </w:style>
  <w:style w:type="paragraph" w:styleId="877">
    <w:name w:val="标题 4"/>
    <w:basedOn w:val="873"/>
    <w:next w:val="887"/>
    <w:link w:val="890"/>
    <w:qFormat/>
    <w:pPr>
      <w:keepLines/>
      <w:keepNext/>
      <w:spacing w:before="280" w:after="290" w:line="376" w:lineRule="auto"/>
      <w:outlineLvl w:val="3"/>
    </w:pPr>
    <w:rPr>
      <w:rFonts w:ascii="Arial" w:hAnsi="Arial" w:eastAsia="黑体" w:cs="Arial"/>
      <w:b/>
      <w:bCs/>
      <w:sz w:val="28"/>
      <w:szCs w:val="28"/>
    </w:rPr>
  </w:style>
  <w:style w:type="paragraph" w:styleId="878">
    <w:name w:val="标题 5"/>
    <w:basedOn w:val="873"/>
    <w:next w:val="887"/>
    <w:link w:val="891"/>
    <w:qFormat/>
    <w:pPr>
      <w:keepNext/>
      <w:outlineLvl w:val="4"/>
    </w:pPr>
    <w:rPr>
      <w:rFonts w:ascii="宋体"/>
      <w:color w:val="000000"/>
      <w:sz w:val="28"/>
      <w:szCs w:val="28"/>
    </w:rPr>
  </w:style>
  <w:style w:type="paragraph" w:styleId="879">
    <w:name w:val="标题 6"/>
    <w:basedOn w:val="873"/>
    <w:next w:val="873"/>
    <w:link w:val="892"/>
    <w:qFormat/>
    <w:pPr>
      <w:numPr>
        <w:ilvl w:val="5"/>
        <w:numId w:val="1"/>
      </w:numPr>
      <w:keepLines/>
      <w:keepNext/>
      <w:spacing w:before="240" w:after="64" w:line="320" w:lineRule="auto"/>
      <w:outlineLvl w:val="5"/>
    </w:pPr>
    <w:rPr>
      <w:rFonts w:ascii="Arial" w:hAnsi="Arial" w:eastAsia="黑体"/>
      <w:b/>
      <w:bCs/>
      <w:sz w:val="24"/>
      <w:szCs w:val="24"/>
    </w:rPr>
  </w:style>
  <w:style w:type="paragraph" w:styleId="880">
    <w:name w:val="标题 7"/>
    <w:basedOn w:val="873"/>
    <w:next w:val="873"/>
    <w:link w:val="893"/>
    <w:qFormat/>
    <w:pPr>
      <w:numPr>
        <w:ilvl w:val="6"/>
        <w:numId w:val="1"/>
      </w:numPr>
      <w:keepLines/>
      <w:keepNext/>
      <w:spacing w:before="240" w:after="64" w:line="320" w:lineRule="auto"/>
      <w:outlineLvl w:val="6"/>
    </w:pPr>
    <w:rPr>
      <w:b/>
      <w:bCs/>
      <w:sz w:val="24"/>
      <w:szCs w:val="24"/>
    </w:rPr>
  </w:style>
  <w:style w:type="paragraph" w:styleId="881">
    <w:name w:val="标题 8"/>
    <w:basedOn w:val="873"/>
    <w:next w:val="873"/>
    <w:link w:val="894"/>
    <w:qFormat/>
    <w:pPr>
      <w:numPr>
        <w:ilvl w:val="7"/>
        <w:numId w:val="1"/>
      </w:numPr>
      <w:keepLines/>
      <w:keepNext/>
      <w:spacing w:before="240" w:after="64" w:line="320" w:lineRule="auto"/>
      <w:outlineLvl w:val="7"/>
    </w:pPr>
    <w:rPr>
      <w:rFonts w:ascii="Arial" w:hAnsi="Arial" w:eastAsia="黑体"/>
      <w:sz w:val="24"/>
      <w:szCs w:val="24"/>
    </w:rPr>
  </w:style>
  <w:style w:type="paragraph" w:styleId="882">
    <w:name w:val="标题 9"/>
    <w:basedOn w:val="873"/>
    <w:next w:val="873"/>
    <w:link w:val="895"/>
    <w:qFormat/>
    <w:pPr>
      <w:numPr>
        <w:ilvl w:val="8"/>
        <w:numId w:val="1"/>
      </w:numPr>
      <w:keepLines/>
      <w:keepNext/>
      <w:spacing w:before="240" w:after="64" w:line="320" w:lineRule="auto"/>
      <w:outlineLvl w:val="8"/>
    </w:pPr>
    <w:rPr>
      <w:rFonts w:ascii="Arial" w:hAnsi="Arial" w:eastAsia="黑体"/>
    </w:rPr>
  </w:style>
  <w:style w:type="character" w:styleId="883">
    <w:name w:val="默认段落字体"/>
    <w:next w:val="883"/>
    <w:link w:val="873"/>
    <w:uiPriority w:val="1"/>
    <w:unhideWhenUsed/>
  </w:style>
  <w:style w:type="table" w:styleId="884">
    <w:name w:val="普通表格"/>
    <w:next w:val="884"/>
    <w:link w:val="873"/>
    <w:uiPriority w:val="99"/>
    <w:unhideWhenUsed/>
    <w:tblPr/>
  </w:style>
  <w:style w:type="character" w:styleId="885">
    <w:name w:val="标题 1 字符"/>
    <w:next w:val="885"/>
    <w:link w:val="874"/>
    <w:rPr>
      <w:rFonts w:ascii="楷体_GB2312" w:hAnsi="Times New Roman" w:eastAsia="楷体_GB2312" w:cs="Times New Roman"/>
      <w:sz w:val="28"/>
      <w:szCs w:val="28"/>
    </w:rPr>
  </w:style>
  <w:style w:type="character" w:styleId="886">
    <w:name w:val="标题 2 字符"/>
    <w:next w:val="886"/>
    <w:link w:val="875"/>
    <w:rPr>
      <w:rFonts w:ascii="Arial" w:hAnsi="Arial" w:eastAsia="幼圆" w:cs="Arial"/>
      <w:b/>
      <w:bCs/>
      <w:sz w:val="44"/>
      <w:szCs w:val="44"/>
    </w:rPr>
  </w:style>
  <w:style w:type="paragraph" w:styleId="887">
    <w:name w:val="正文缩进"/>
    <w:basedOn w:val="873"/>
    <w:next w:val="887"/>
    <w:link w:val="888"/>
    <w:pPr>
      <w:ind w:firstLine="420"/>
    </w:pPr>
  </w:style>
  <w:style w:type="character" w:styleId="888">
    <w:name w:val="正文缩进 字符"/>
    <w:next w:val="888"/>
    <w:link w:val="887"/>
    <w:rPr>
      <w:rFonts w:ascii="Times New Roman" w:hAnsi="Times New Roman" w:eastAsia="宋体" w:cs="Times New Roman"/>
      <w:szCs w:val="21"/>
    </w:rPr>
  </w:style>
  <w:style w:type="character" w:styleId="889">
    <w:name w:val="标题 3 字符"/>
    <w:next w:val="889"/>
    <w:link w:val="876"/>
    <w:rPr>
      <w:rFonts w:ascii="Times New Roman" w:hAnsi="Times New Roman" w:eastAsia="宋体" w:cs="Times New Roman"/>
      <w:b/>
      <w:bCs/>
      <w:sz w:val="32"/>
      <w:szCs w:val="32"/>
    </w:rPr>
  </w:style>
  <w:style w:type="character" w:styleId="890">
    <w:name w:val="标题 4 字符"/>
    <w:next w:val="890"/>
    <w:link w:val="877"/>
    <w:rPr>
      <w:rFonts w:ascii="Arial" w:hAnsi="Arial" w:eastAsia="黑体" w:cs="Arial"/>
      <w:b/>
      <w:bCs/>
      <w:sz w:val="28"/>
      <w:szCs w:val="28"/>
    </w:rPr>
  </w:style>
  <w:style w:type="character" w:styleId="891">
    <w:name w:val="标题 5 字符"/>
    <w:next w:val="891"/>
    <w:link w:val="878"/>
    <w:rPr>
      <w:rFonts w:ascii="宋体" w:hAnsi="Times New Roman" w:eastAsia="宋体" w:cs="Times New Roman"/>
      <w:color w:val="000000"/>
      <w:sz w:val="28"/>
      <w:szCs w:val="28"/>
    </w:rPr>
  </w:style>
  <w:style w:type="character" w:styleId="892">
    <w:name w:val="标题 6 字符"/>
    <w:next w:val="892"/>
    <w:link w:val="879"/>
    <w:rPr>
      <w:rFonts w:ascii="Arial" w:hAnsi="Arial" w:eastAsia="黑体" w:cs="Times New Roman"/>
      <w:b/>
      <w:bCs/>
      <w:sz w:val="24"/>
      <w:szCs w:val="24"/>
    </w:rPr>
  </w:style>
  <w:style w:type="character" w:styleId="893">
    <w:name w:val="标题 7 字符"/>
    <w:next w:val="893"/>
    <w:link w:val="880"/>
    <w:rPr>
      <w:rFonts w:ascii="Times New Roman" w:hAnsi="Times New Roman" w:eastAsia="宋体" w:cs="Times New Roman"/>
      <w:b/>
      <w:bCs/>
      <w:sz w:val="24"/>
      <w:szCs w:val="24"/>
    </w:rPr>
  </w:style>
  <w:style w:type="character" w:styleId="894">
    <w:name w:val="标题 8 字符"/>
    <w:next w:val="894"/>
    <w:link w:val="881"/>
    <w:rPr>
      <w:rFonts w:ascii="Arial" w:hAnsi="Arial" w:eastAsia="黑体" w:cs="Times New Roman"/>
      <w:sz w:val="24"/>
      <w:szCs w:val="24"/>
    </w:rPr>
  </w:style>
  <w:style w:type="character" w:styleId="895">
    <w:name w:val="标题 9 字符"/>
    <w:next w:val="895"/>
    <w:link w:val="882"/>
    <w:rPr>
      <w:rFonts w:ascii="Arial" w:hAnsi="Arial" w:eastAsia="黑体" w:cs="Times New Roman"/>
      <w:szCs w:val="21"/>
    </w:rPr>
  </w:style>
  <w:style w:type="paragraph" w:styleId="896">
    <w:name w:val="列表 3"/>
    <w:basedOn w:val="873"/>
    <w:next w:val="896"/>
    <w:link w:val="873"/>
    <w:pPr>
      <w:ind w:left="100" w:hanging="200"/>
    </w:pPr>
  </w:style>
  <w:style w:type="paragraph" w:styleId="897">
    <w:name w:val="目录 7"/>
    <w:basedOn w:val="873"/>
    <w:next w:val="873"/>
    <w:link w:val="873"/>
    <w:semiHidden/>
    <w:pPr>
      <w:ind w:left="1260"/>
      <w:jc w:val="left"/>
    </w:pPr>
  </w:style>
  <w:style w:type="paragraph" w:styleId="898">
    <w:name w:val="文档结构图"/>
    <w:basedOn w:val="873"/>
    <w:next w:val="898"/>
    <w:link w:val="899"/>
    <w:semiHidden/>
    <w:pPr>
      <w:shd w:val="clear" w:color="auto" w:fill="000080"/>
    </w:pPr>
  </w:style>
  <w:style w:type="character" w:styleId="899">
    <w:name w:val="文档结构图 字符"/>
    <w:next w:val="899"/>
    <w:link w:val="898"/>
    <w:semiHidden/>
    <w:rPr>
      <w:rFonts w:ascii="Times New Roman" w:hAnsi="Times New Roman" w:eastAsia="宋体" w:cs="Times New Roman"/>
      <w:szCs w:val="21"/>
      <w:shd w:val="clear" w:color="auto" w:fill="000080"/>
    </w:rPr>
  </w:style>
  <w:style w:type="paragraph" w:styleId="900">
    <w:name w:val="批注文字"/>
    <w:basedOn w:val="873"/>
    <w:next w:val="900"/>
    <w:link w:val="901"/>
    <w:semiHidden/>
    <w:pPr>
      <w:jc w:val="left"/>
    </w:pPr>
  </w:style>
  <w:style w:type="character" w:styleId="901">
    <w:name w:val="批注文字 字符"/>
    <w:next w:val="901"/>
    <w:link w:val="900"/>
    <w:semiHidden/>
    <w:rPr>
      <w:rFonts w:ascii="Times New Roman" w:hAnsi="Times New Roman" w:eastAsia="宋体" w:cs="Times New Roman"/>
      <w:szCs w:val="21"/>
    </w:rPr>
  </w:style>
  <w:style w:type="paragraph" w:styleId="902">
    <w:name w:val="正文文本 3"/>
    <w:basedOn w:val="873"/>
    <w:next w:val="902"/>
    <w:link w:val="903"/>
    <w:rPr>
      <w:rFonts w:ascii="仿宋_GB2312" w:hAnsi="Arial" w:eastAsia="仿宋_GB2312"/>
      <w:sz w:val="32"/>
      <w:szCs w:val="32"/>
    </w:rPr>
  </w:style>
  <w:style w:type="character" w:styleId="903">
    <w:name w:val="正文文本 3 字符"/>
    <w:next w:val="903"/>
    <w:link w:val="902"/>
    <w:rPr>
      <w:rFonts w:ascii="仿宋_GB2312" w:hAnsi="Arial" w:eastAsia="仿宋_GB2312" w:cs="Times New Roman"/>
      <w:sz w:val="32"/>
      <w:szCs w:val="32"/>
    </w:rPr>
  </w:style>
  <w:style w:type="paragraph" w:styleId="904">
    <w:name w:val="正文文本"/>
    <w:basedOn w:val="873"/>
    <w:next w:val="904"/>
    <w:link w:val="905"/>
    <w:rPr>
      <w:rFonts w:ascii="楷体_GB2312" w:hAnsi="Arial" w:eastAsia="楷体_GB2312"/>
      <w:sz w:val="28"/>
      <w:szCs w:val="28"/>
    </w:rPr>
  </w:style>
  <w:style w:type="character" w:styleId="905">
    <w:name w:val="正文文本 字符"/>
    <w:next w:val="905"/>
    <w:link w:val="904"/>
    <w:rPr>
      <w:rFonts w:ascii="楷体_GB2312" w:hAnsi="Arial" w:eastAsia="楷体_GB2312" w:cs="Times New Roman"/>
      <w:sz w:val="28"/>
      <w:szCs w:val="28"/>
    </w:rPr>
  </w:style>
  <w:style w:type="paragraph" w:styleId="906">
    <w:name w:val="正文文本缩进"/>
    <w:basedOn w:val="873"/>
    <w:next w:val="908"/>
    <w:link w:val="907"/>
    <w:pPr>
      <w:ind w:firstLine="645"/>
    </w:pPr>
    <w:rPr>
      <w:rFonts w:ascii="楷体_GB2312" w:eastAsia="楷体_GB2312"/>
      <w:sz w:val="32"/>
      <w:szCs w:val="32"/>
    </w:rPr>
  </w:style>
  <w:style w:type="character" w:styleId="907">
    <w:name w:val="正文文本缩进 字符"/>
    <w:next w:val="907"/>
    <w:link w:val="906"/>
    <w:rPr>
      <w:rFonts w:ascii="楷体_GB2312" w:hAnsi="Times New Roman" w:eastAsia="楷体_GB2312" w:cs="Times New Roman"/>
      <w:sz w:val="32"/>
      <w:szCs w:val="32"/>
    </w:rPr>
  </w:style>
  <w:style w:type="paragraph" w:styleId="908">
    <w:name w:val="寄信人地址"/>
    <w:basedOn w:val="873"/>
    <w:next w:val="908"/>
    <w:link w:val="873"/>
    <w:qFormat/>
    <w:rPr>
      <w:rFonts w:ascii="Arial" w:hAnsi="Arial" w:eastAsia="宋体" w:cs="宋体"/>
    </w:rPr>
  </w:style>
  <w:style w:type="paragraph" w:styleId="909">
    <w:name w:val="列表 2"/>
    <w:basedOn w:val="873"/>
    <w:next w:val="909"/>
    <w:link w:val="873"/>
    <w:pPr>
      <w:ind w:left="100" w:hanging="200"/>
    </w:pPr>
  </w:style>
  <w:style w:type="paragraph" w:styleId="910">
    <w:name w:val="目录 5"/>
    <w:basedOn w:val="873"/>
    <w:next w:val="873"/>
    <w:link w:val="873"/>
    <w:semiHidden/>
    <w:pPr>
      <w:ind w:left="840"/>
      <w:jc w:val="left"/>
    </w:pPr>
  </w:style>
  <w:style w:type="paragraph" w:styleId="911">
    <w:name w:val="目录 3"/>
    <w:basedOn w:val="873"/>
    <w:next w:val="873"/>
    <w:link w:val="873"/>
    <w:semiHidden/>
    <w:pPr>
      <w:ind w:left="420"/>
      <w:jc w:val="left"/>
    </w:pPr>
    <w:rPr>
      <w:i/>
      <w:iCs/>
      <w:szCs w:val="24"/>
    </w:rPr>
  </w:style>
  <w:style w:type="paragraph" w:styleId="912">
    <w:name w:val="纯文本"/>
    <w:basedOn w:val="873"/>
    <w:next w:val="912"/>
    <w:link w:val="913"/>
    <w:rPr>
      <w:rFonts w:ascii="宋体" w:hAnsi="Courier New" w:cs="Courier New"/>
    </w:rPr>
  </w:style>
  <w:style w:type="character" w:styleId="913">
    <w:name w:val="纯文本 字符"/>
    <w:next w:val="913"/>
    <w:link w:val="912"/>
    <w:rPr>
      <w:rFonts w:ascii="宋体" w:hAnsi="Courier New" w:eastAsia="宋体" w:cs="Courier New"/>
      <w:szCs w:val="21"/>
    </w:rPr>
  </w:style>
  <w:style w:type="paragraph" w:styleId="914">
    <w:name w:val="目录 8"/>
    <w:basedOn w:val="873"/>
    <w:next w:val="873"/>
    <w:link w:val="873"/>
    <w:semiHidden/>
    <w:pPr>
      <w:ind w:left="1470"/>
      <w:jc w:val="left"/>
    </w:pPr>
  </w:style>
  <w:style w:type="paragraph" w:styleId="915">
    <w:name w:val="日期"/>
    <w:basedOn w:val="873"/>
    <w:next w:val="873"/>
    <w:link w:val="916"/>
    <w:rPr>
      <w:sz w:val="24"/>
      <w:szCs w:val="24"/>
    </w:rPr>
  </w:style>
  <w:style w:type="character" w:styleId="916">
    <w:name w:val="日期 字符"/>
    <w:next w:val="916"/>
    <w:link w:val="915"/>
    <w:rPr>
      <w:rFonts w:ascii="Times New Roman" w:hAnsi="Times New Roman" w:eastAsia="宋体" w:cs="Times New Roman"/>
      <w:sz w:val="24"/>
      <w:szCs w:val="24"/>
    </w:rPr>
  </w:style>
  <w:style w:type="paragraph" w:styleId="917">
    <w:name w:val="正文文本缩进 2"/>
    <w:basedOn w:val="873"/>
    <w:next w:val="917"/>
    <w:link w:val="918"/>
    <w:pPr>
      <w:ind w:left="630" w:firstLine="645"/>
    </w:pPr>
    <w:rPr>
      <w:rFonts w:ascii="Arial" w:hAnsi="Arial" w:eastAsia="仿宋_GB2312" w:cs="Arial"/>
      <w:sz w:val="32"/>
      <w:szCs w:val="32"/>
    </w:rPr>
  </w:style>
  <w:style w:type="character" w:styleId="918">
    <w:name w:val="正文文本缩进 2 字符"/>
    <w:next w:val="918"/>
    <w:link w:val="917"/>
    <w:rPr>
      <w:rFonts w:ascii="Arial" w:hAnsi="Arial" w:eastAsia="仿宋_GB2312" w:cs="Arial"/>
      <w:sz w:val="32"/>
      <w:szCs w:val="32"/>
    </w:rPr>
  </w:style>
  <w:style w:type="paragraph" w:styleId="919">
    <w:name w:val="批注框文本"/>
    <w:basedOn w:val="873"/>
    <w:next w:val="919"/>
    <w:link w:val="920"/>
    <w:semiHidden/>
    <w:rPr>
      <w:sz w:val="18"/>
      <w:szCs w:val="18"/>
    </w:rPr>
  </w:style>
  <w:style w:type="character" w:styleId="920">
    <w:name w:val="批注框文本 字符"/>
    <w:next w:val="920"/>
    <w:link w:val="919"/>
    <w:semiHidden/>
    <w:rPr>
      <w:rFonts w:ascii="Times New Roman" w:hAnsi="Times New Roman" w:eastAsia="宋体" w:cs="Times New Roman"/>
      <w:sz w:val="18"/>
      <w:szCs w:val="18"/>
    </w:rPr>
  </w:style>
  <w:style w:type="paragraph" w:styleId="921">
    <w:name w:val="页脚"/>
    <w:basedOn w:val="873"/>
    <w:next w:val="921"/>
    <w:link w:val="922"/>
    <w:pPr>
      <w:jc w:val="left"/>
      <w:tabs>
        <w:tab w:val="center" w:pos="4153" w:leader="none"/>
        <w:tab w:val="right" w:pos="8306" w:leader="none"/>
      </w:tabs>
    </w:pPr>
    <w:rPr>
      <w:sz w:val="18"/>
      <w:szCs w:val="18"/>
    </w:rPr>
  </w:style>
  <w:style w:type="character" w:styleId="922">
    <w:name w:val="页脚 字符"/>
    <w:next w:val="922"/>
    <w:link w:val="921"/>
    <w:rPr>
      <w:rFonts w:ascii="Times New Roman" w:hAnsi="Times New Roman" w:eastAsia="宋体" w:cs="Times New Roman"/>
      <w:sz w:val="18"/>
      <w:szCs w:val="18"/>
    </w:rPr>
  </w:style>
  <w:style w:type="paragraph" w:styleId="923">
    <w:name w:val="页眉"/>
    <w:basedOn w:val="873"/>
    <w:next w:val="923"/>
    <w:link w:val="924"/>
    <w:pPr>
      <w:jc w:val="center"/>
      <w:tabs>
        <w:tab w:val="center" w:pos="4153" w:leader="none"/>
        <w:tab w:val="right" w:pos="8306" w:leader="none"/>
      </w:tabs>
      <w:pBdr>
        <w:bottom w:val="single" w:color="000000" w:sz="6" w:space="1"/>
      </w:pBdr>
    </w:pPr>
    <w:rPr>
      <w:sz w:val="18"/>
      <w:szCs w:val="18"/>
    </w:rPr>
  </w:style>
  <w:style w:type="character" w:styleId="924">
    <w:name w:val="页眉 字符"/>
    <w:next w:val="924"/>
    <w:link w:val="923"/>
    <w:rPr>
      <w:rFonts w:ascii="Times New Roman" w:hAnsi="Times New Roman" w:eastAsia="宋体" w:cs="Times New Roman"/>
      <w:sz w:val="18"/>
      <w:szCs w:val="18"/>
    </w:rPr>
  </w:style>
  <w:style w:type="paragraph" w:styleId="925">
    <w:name w:val="目录 1"/>
    <w:basedOn w:val="873"/>
    <w:next w:val="873"/>
    <w:link w:val="873"/>
    <w:semiHidden/>
    <w:pPr>
      <w:jc w:val="left"/>
      <w:spacing w:before="120" w:after="120" w:line="400" w:lineRule="exact"/>
      <w:tabs>
        <w:tab w:val="right" w:pos="8720" w:leader="dot"/>
      </w:tabs>
    </w:pPr>
    <w:rPr>
      <w:rFonts w:ascii="宋体" w:hAnsi="宋体"/>
      <w:caps/>
      <w:sz w:val="24"/>
      <w:szCs w:val="24"/>
    </w:rPr>
  </w:style>
  <w:style w:type="paragraph" w:styleId="926">
    <w:name w:val="目录 4"/>
    <w:basedOn w:val="873"/>
    <w:next w:val="873"/>
    <w:link w:val="873"/>
    <w:semiHidden/>
    <w:pPr>
      <w:ind w:left="630"/>
      <w:jc w:val="left"/>
    </w:pPr>
  </w:style>
  <w:style w:type="paragraph" w:styleId="927">
    <w:name w:val="列表"/>
    <w:basedOn w:val="873"/>
    <w:next w:val="927"/>
    <w:link w:val="873"/>
    <w:pPr>
      <w:ind w:left="200" w:hanging="200"/>
    </w:pPr>
  </w:style>
  <w:style w:type="paragraph" w:styleId="928">
    <w:name w:val="目录 6"/>
    <w:basedOn w:val="873"/>
    <w:next w:val="873"/>
    <w:link w:val="873"/>
    <w:semiHidden/>
    <w:pPr>
      <w:ind w:left="1050"/>
      <w:jc w:val="left"/>
    </w:pPr>
  </w:style>
  <w:style w:type="paragraph" w:styleId="929">
    <w:name w:val="正文文本缩进 3"/>
    <w:basedOn w:val="873"/>
    <w:next w:val="929"/>
    <w:link w:val="930"/>
    <w:pPr>
      <w:ind w:left="645" w:firstLine="645"/>
    </w:pPr>
    <w:rPr>
      <w:rFonts w:ascii="Arial" w:hAnsi="Arial" w:eastAsia="仿宋_GB2312" w:cs="Arial"/>
      <w:color w:val="ffff00"/>
      <w:sz w:val="32"/>
      <w:szCs w:val="32"/>
    </w:rPr>
  </w:style>
  <w:style w:type="character" w:styleId="930">
    <w:name w:val="正文文本缩进 3 字符"/>
    <w:next w:val="930"/>
    <w:link w:val="929"/>
    <w:rPr>
      <w:rFonts w:ascii="Arial" w:hAnsi="Arial" w:eastAsia="仿宋_GB2312" w:cs="Arial"/>
      <w:color w:val="ffff00"/>
      <w:sz w:val="32"/>
      <w:szCs w:val="32"/>
    </w:rPr>
  </w:style>
  <w:style w:type="paragraph" w:styleId="931">
    <w:name w:val="图表目录"/>
    <w:basedOn w:val="873"/>
    <w:next w:val="873"/>
    <w:link w:val="873"/>
    <w:semiHidden/>
    <w:pPr>
      <w:ind w:left="840" w:hanging="420"/>
    </w:pPr>
  </w:style>
  <w:style w:type="paragraph" w:styleId="932">
    <w:name w:val="目录 2"/>
    <w:basedOn w:val="873"/>
    <w:next w:val="873"/>
    <w:link w:val="873"/>
    <w:semiHidden/>
    <w:pPr>
      <w:ind w:left="210"/>
      <w:jc w:val="left"/>
    </w:pPr>
    <w:rPr>
      <w:smallCaps/>
      <w:szCs w:val="24"/>
    </w:rPr>
  </w:style>
  <w:style w:type="paragraph" w:styleId="933">
    <w:name w:val="目录 9"/>
    <w:basedOn w:val="873"/>
    <w:next w:val="873"/>
    <w:link w:val="873"/>
    <w:semiHidden/>
    <w:pPr>
      <w:ind w:left="1680"/>
      <w:jc w:val="left"/>
    </w:pPr>
  </w:style>
  <w:style w:type="paragraph" w:styleId="934">
    <w:name w:val="正文文本 2"/>
    <w:basedOn w:val="873"/>
    <w:next w:val="934"/>
    <w:link w:val="935"/>
    <w:pPr>
      <w:jc w:val="center"/>
      <w:widowControl/>
    </w:pPr>
    <w:rPr>
      <w:rFonts w:ascii="楷体_GB2312" w:eastAsia="楷体_GB2312"/>
      <w:sz w:val="28"/>
      <w:szCs w:val="28"/>
    </w:rPr>
  </w:style>
  <w:style w:type="character" w:styleId="935">
    <w:name w:val="正文文本 2 字符"/>
    <w:next w:val="935"/>
    <w:link w:val="934"/>
    <w:rPr>
      <w:rFonts w:ascii="楷体_GB2312" w:hAnsi="Times New Roman" w:eastAsia="楷体_GB2312" w:cs="Times New Roman"/>
      <w:sz w:val="28"/>
      <w:szCs w:val="28"/>
    </w:rPr>
  </w:style>
  <w:style w:type="paragraph" w:styleId="936">
    <w:name w:val="普通(网站)"/>
    <w:basedOn w:val="873"/>
    <w:next w:val="936"/>
    <w:link w:val="873"/>
    <w:uiPriority w:val="99"/>
    <w:pPr>
      <w:jc w:val="left"/>
      <w:spacing w:before="100" w:beforeAutospacing="1" w:after="100" w:afterAutospacing="1"/>
      <w:widowControl/>
    </w:pPr>
    <w:rPr>
      <w:rFonts w:ascii="宋体" w:hAnsi="宋体" w:cs="宋体"/>
      <w:sz w:val="24"/>
      <w:szCs w:val="24"/>
    </w:rPr>
  </w:style>
  <w:style w:type="paragraph" w:styleId="937">
    <w:name w:val="索引 1"/>
    <w:basedOn w:val="873"/>
    <w:next w:val="873"/>
    <w:link w:val="873"/>
    <w:semiHidden/>
    <w:pPr>
      <w:spacing w:line="240" w:lineRule="atLeast"/>
    </w:pPr>
    <w:rPr>
      <w:b/>
      <w:bCs/>
    </w:rPr>
  </w:style>
  <w:style w:type="paragraph" w:styleId="938">
    <w:name w:val="批注主题"/>
    <w:basedOn w:val="900"/>
    <w:next w:val="900"/>
    <w:link w:val="939"/>
    <w:semiHidden/>
    <w:rPr>
      <w:b/>
      <w:bCs/>
    </w:rPr>
  </w:style>
  <w:style w:type="character" w:styleId="939">
    <w:name w:val="批注主题 字符"/>
    <w:next w:val="939"/>
    <w:link w:val="938"/>
    <w:semiHidden/>
    <w:rPr>
      <w:rFonts w:ascii="Times New Roman" w:hAnsi="Times New Roman" w:eastAsia="宋体" w:cs="Times New Roman"/>
      <w:b/>
      <w:bCs/>
      <w:szCs w:val="21"/>
    </w:rPr>
  </w:style>
  <w:style w:type="paragraph" w:styleId="940">
    <w:name w:val="正文首行缩进"/>
    <w:basedOn w:val="873"/>
    <w:next w:val="940"/>
    <w:link w:val="941"/>
    <w:pPr>
      <w:ind w:firstLine="200"/>
      <w:spacing w:line="360" w:lineRule="auto"/>
    </w:pPr>
    <w:rPr>
      <w:rFonts w:ascii="仿宋_GB2312" w:eastAsia="仿宋_GB2312"/>
      <w:sz w:val="30"/>
      <w:szCs w:val="30"/>
    </w:rPr>
  </w:style>
  <w:style w:type="character" w:styleId="941">
    <w:name w:val="正文文本首行缩进 字符"/>
    <w:next w:val="941"/>
    <w:link w:val="940"/>
    <w:rPr>
      <w:rFonts w:ascii="仿宋_GB2312" w:hAnsi="Times New Roman" w:eastAsia="仿宋_GB2312" w:cs="Times New Roman"/>
      <w:sz w:val="30"/>
      <w:szCs w:val="30"/>
    </w:rPr>
  </w:style>
  <w:style w:type="paragraph" w:styleId="942">
    <w:name w:val="正文首行缩进 2"/>
    <w:basedOn w:val="906"/>
    <w:next w:val="873"/>
    <w:link w:val="943"/>
    <w:pPr>
      <w:ind w:firstLine="420"/>
      <w:spacing w:line="360" w:lineRule="auto"/>
    </w:pPr>
    <w:rPr>
      <w:rFonts w:ascii="宋体" w:hAnsi="宋体" w:eastAsia="宋体"/>
      <w:sz w:val="21"/>
      <w:szCs w:val="20"/>
    </w:rPr>
  </w:style>
  <w:style w:type="character" w:styleId="943">
    <w:name w:val="正文文本首行缩进 2 字符"/>
    <w:next w:val="943"/>
    <w:link w:val="942"/>
    <w:rPr>
      <w:rFonts w:ascii="宋体" w:hAnsi="宋体" w:eastAsia="宋体" w:cs="Times New Roman"/>
      <w:sz w:val="32"/>
      <w:szCs w:val="20"/>
    </w:rPr>
  </w:style>
  <w:style w:type="table" w:styleId="944">
    <w:name w:val="网格型"/>
    <w:basedOn w:val="884"/>
    <w:next w:val="944"/>
    <w:link w:val="873"/>
    <w:pPr>
      <w:jc w:val="both"/>
      <w:widowControl w:val="off"/>
    </w:pPr>
    <w:rPr>
      <w:rFonts w:ascii="Times New Roman" w:hAnsi="Times New Roman" w:eastAsia="宋体" w:cs="Times New Roman"/>
      <w:sz w:val="20"/>
      <w:szCs w:val="20"/>
    </w:rPr>
    <w:tblPr/>
  </w:style>
  <w:style w:type="character" w:styleId="945">
    <w:name w:val="要点"/>
    <w:basedOn w:val="883"/>
    <w:next w:val="945"/>
    <w:link w:val="873"/>
    <w:qFormat/>
    <w:rPr>
      <w:b/>
      <w:bCs/>
    </w:rPr>
  </w:style>
  <w:style w:type="character" w:styleId="946">
    <w:name w:val="页码"/>
    <w:next w:val="946"/>
    <w:link w:val="873"/>
  </w:style>
  <w:style w:type="character" w:styleId="947">
    <w:name w:val="已访问的超链接"/>
    <w:next w:val="947"/>
    <w:link w:val="873"/>
    <w:rPr>
      <w:color w:val="800080"/>
      <w:u w:val="single"/>
    </w:rPr>
  </w:style>
  <w:style w:type="character" w:styleId="948">
    <w:name w:val="强调"/>
    <w:next w:val="948"/>
    <w:link w:val="873"/>
    <w:qFormat/>
    <w:rPr>
      <w:i/>
    </w:rPr>
  </w:style>
  <w:style w:type="character" w:styleId="949">
    <w:name w:val="超链接"/>
    <w:next w:val="949"/>
    <w:link w:val="873"/>
    <w:rPr>
      <w:color w:val="0000ff"/>
      <w:u w:val="single"/>
    </w:rPr>
  </w:style>
  <w:style w:type="character" w:styleId="950">
    <w:name w:val="批注引用"/>
    <w:next w:val="950"/>
    <w:link w:val="873"/>
    <w:semiHidden/>
    <w:rPr>
      <w:sz w:val="21"/>
      <w:szCs w:val="21"/>
    </w:rPr>
  </w:style>
  <w:style w:type="paragraph" w:styleId="951">
    <w:name w:val="索引 41"/>
    <w:basedOn w:val="873"/>
    <w:next w:val="873"/>
    <w:link w:val="873"/>
    <w:semiHidden/>
    <w:qFormat/>
    <w:pPr>
      <w:ind w:left="1260"/>
    </w:pPr>
    <w:rPr>
      <w:rFonts w:ascii="Calibri" w:hAnsi="Calibri" w:eastAsia="Calibri" w:cs="宋体"/>
      <w:sz w:val="20"/>
      <w:lang w:val="zh-CN"/>
    </w:rPr>
  </w:style>
  <w:style w:type="paragraph" w:styleId="952">
    <w:name w:val="正文文本缩进1"/>
    <w:basedOn w:val="873"/>
    <w:next w:val="953"/>
    <w:link w:val="873"/>
    <w:unhideWhenUsed/>
    <w:qFormat/>
    <w:pPr>
      <w:ind w:left="420"/>
      <w:spacing w:after="120"/>
    </w:pPr>
  </w:style>
  <w:style w:type="paragraph" w:styleId="953">
    <w:name w:val="正文首行缩进 21"/>
    <w:basedOn w:val="952"/>
    <w:next w:val="953"/>
    <w:link w:val="873"/>
    <w:qFormat/>
    <w:pPr>
      <w:ind w:left="0" w:firstLine="420"/>
      <w:spacing w:after="0" w:line="360" w:lineRule="auto"/>
    </w:pPr>
    <w:rPr>
      <w:rFonts w:ascii="宋体" w:hAnsi="宋体"/>
      <w:sz w:val="20"/>
      <w:szCs w:val="20"/>
      <w:lang w:val="en-US" w:eastAsia="en-US"/>
    </w:rPr>
  </w:style>
  <w:style w:type="paragraph" w:styleId="954">
    <w:name w:val="正文文本12"/>
    <w:basedOn w:val="873"/>
    <w:next w:val="954"/>
    <w:link w:val="873"/>
    <w:uiPriority w:val="1"/>
    <w:qFormat/>
    <w:pPr>
      <w:ind w:left="120"/>
    </w:pPr>
    <w:rPr>
      <w:rFonts w:ascii="宋体" w:hAnsi="宋体" w:eastAsia="宋体" w:cs="宋体"/>
      <w:sz w:val="21"/>
      <w:szCs w:val="21"/>
      <w:lang w:val="zh-CN" w:eastAsia="zh-CN" w:bidi="zh-CN"/>
    </w:rPr>
  </w:style>
  <w:style w:type="character" w:styleId="955">
    <w:name w:val="font5 Char"/>
    <w:next w:val="955"/>
    <w:link w:val="873"/>
    <w:rPr>
      <w:rFonts w:ascii="宋体" w:hAnsi="宋体" w:eastAsia="宋体"/>
      <w:sz w:val="28"/>
      <w:szCs w:val="28"/>
      <w:lang w:val="en-US" w:eastAsia="zh-CN" w:bidi="ar-SA"/>
    </w:rPr>
  </w:style>
  <w:style w:type="character" w:styleId="956">
    <w:name w:val="二级目录 Char"/>
    <w:next w:val="956"/>
    <w:link w:val="957"/>
    <w:rPr>
      <w:b/>
      <w:sz w:val="30"/>
      <w:szCs w:val="28"/>
    </w:rPr>
  </w:style>
  <w:style w:type="paragraph" w:styleId="957">
    <w:name w:val="二级目录"/>
    <w:next w:val="873"/>
    <w:link w:val="956"/>
    <w:pPr>
      <w:numPr>
        <w:ilvl w:val="0"/>
        <w:numId w:val="2"/>
      </w:numPr>
      <w:tabs>
        <w:tab w:val="left" w:pos="907" w:leader="none"/>
        <w:tab w:val="left" w:pos="1145" w:leader="none"/>
      </w:tabs>
      <w:outlineLvl w:val="1"/>
    </w:pPr>
    <w:rPr>
      <w:b/>
      <w:sz w:val="30"/>
      <w:szCs w:val="28"/>
      <w:lang w:val="en-US" w:eastAsia="zh-CN" w:bidi="ar-SA"/>
    </w:rPr>
  </w:style>
  <w:style w:type="character" w:styleId="958">
    <w:name w:val="列出段落 Char,Bullet List Char,numbered Char,FooterText Char,List Paragraph1 Char,Paragraphe de liste1 Char"/>
    <w:next w:val="958"/>
    <w:link w:val="959"/>
    <w:rPr>
      <w:rFonts w:ascii="Calibri" w:hAnsi="Calibri"/>
      <w:sz w:val="24"/>
      <w:szCs w:val="24"/>
      <w:lang w:eastAsia="en-US" w:bidi="en-US"/>
    </w:rPr>
  </w:style>
  <w:style w:type="paragraph" w:styleId="959">
    <w:name w:val="列出段落1"/>
    <w:basedOn w:val="873"/>
    <w:next w:val="959"/>
    <w:link w:val="958"/>
    <w:qFormat/>
    <w:pPr>
      <w:contextualSpacing/>
      <w:ind w:left="720"/>
      <w:jc w:val="left"/>
      <w:widowControl/>
    </w:pPr>
    <w:rPr>
      <w:rFonts w:ascii="Calibri" w:hAnsi="Calibri" w:eastAsia="宋体" w:cs="Times New Roman"/>
      <w:sz w:val="24"/>
      <w:szCs w:val="24"/>
      <w:lang w:eastAsia="en-US" w:bidi="en-US"/>
    </w:rPr>
  </w:style>
  <w:style w:type="paragraph" w:styleId="960">
    <w:name w:val="Body Text(ch)"/>
    <w:basedOn w:val="873"/>
    <w:next w:val="904"/>
    <w:link w:val="873"/>
    <w:pPr>
      <w:spacing w:after="120"/>
    </w:pPr>
    <w:rPr>
      <w:rFonts w:ascii="宋体" w:hAnsi="Arial"/>
      <w:bCs/>
      <w:iCs/>
      <w:szCs w:val="24"/>
    </w:rPr>
  </w:style>
  <w:style w:type="paragraph" w:styleId="961">
    <w:name w:val="xl27"/>
    <w:basedOn w:val="873"/>
    <w:next w:val="961"/>
    <w:link w:val="87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2">
    <w:name w:val="xl26"/>
    <w:basedOn w:val="873"/>
    <w:next w:val="962"/>
    <w:link w:val="87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3">
    <w:name w:val="Char"/>
    <w:basedOn w:val="873"/>
    <w:next w:val="963"/>
    <w:link w:val="873"/>
    <w:pPr>
      <w:ind w:firstLine="200"/>
      <w:tabs>
        <w:tab w:val="left" w:pos="360" w:leader="none"/>
      </w:tabs>
    </w:pPr>
    <w:rPr>
      <w:sz w:val="28"/>
      <w:szCs w:val="30"/>
    </w:rPr>
  </w:style>
  <w:style w:type="paragraph" w:styleId="964">
    <w:name w:val=" Char"/>
    <w:basedOn w:val="898"/>
    <w:next w:val="964"/>
    <w:link w:val="873"/>
    <w:rPr>
      <w:rFonts w:ascii="Tahoma" w:hAnsi="Tahoma"/>
      <w:sz w:val="24"/>
      <w:szCs w:val="24"/>
    </w:rPr>
  </w:style>
  <w:style w:type="paragraph" w:styleId="965">
    <w:name w:val="普通正文"/>
    <w:basedOn w:val="873"/>
    <w:next w:val="965"/>
    <w:link w:val="873"/>
    <w:pPr>
      <w:ind w:firstLine="480"/>
      <w:jc w:val="left"/>
      <w:spacing w:before="120" w:after="120" w:line="360" w:lineRule="auto"/>
    </w:pPr>
    <w:rPr>
      <w:rFonts w:ascii="Arial" w:hAnsi="Arial"/>
      <w:sz w:val="24"/>
      <w:szCs w:val="24"/>
    </w:rPr>
  </w:style>
  <w:style w:type="paragraph" w:styleId="966">
    <w:name w:val="table_lines"/>
    <w:basedOn w:val="873"/>
    <w:next w:val="966"/>
    <w:link w:val="873"/>
    <w:pPr>
      <w:jc w:val="left"/>
      <w:widowControl/>
    </w:pPr>
    <w:rPr>
      <w:sz w:val="20"/>
      <w:szCs w:val="20"/>
      <w:lang w:val="de-DE" w:eastAsia="de-DE"/>
    </w:rPr>
  </w:style>
  <w:style w:type="paragraph" w:styleId="967">
    <w:name w:val="附录1"/>
    <w:next w:val="967"/>
    <w:link w:val="873"/>
    <w:pPr>
      <w:numPr>
        <w:ilvl w:val="0"/>
        <w:numId w:val="2"/>
      </w:numPr>
      <w:spacing w:before="240" w:line="600" w:lineRule="atLeast"/>
      <w:tabs>
        <w:tab w:val="left" w:pos="907" w:leader="none"/>
      </w:tabs>
    </w:pPr>
    <w:rPr>
      <w:b/>
      <w:i/>
      <w:sz w:val="28"/>
      <w:lang w:val="en-US" w:eastAsia="zh-CN" w:bidi="ar-SA"/>
    </w:rPr>
  </w:style>
  <w:style w:type="paragraph" w:styleId="968">
    <w:name w:val="font7"/>
    <w:basedOn w:val="873"/>
    <w:next w:val="968"/>
    <w:link w:val="873"/>
    <w:pPr>
      <w:jc w:val="left"/>
      <w:spacing w:before="100" w:beforeAutospacing="1" w:after="100" w:afterAutospacing="1"/>
      <w:widowControl/>
    </w:pPr>
    <w:rPr>
      <w:rFonts w:hint="eastAsia" w:ascii="宋体" w:hAnsi="宋体"/>
      <w:sz w:val="18"/>
      <w:szCs w:val="18"/>
    </w:rPr>
  </w:style>
  <w:style w:type="paragraph" w:styleId="969">
    <w:name w:val=" Char Char Char Char"/>
    <w:basedOn w:val="898"/>
    <w:next w:val="969"/>
    <w:link w:val="873"/>
    <w:pPr>
      <w:spacing w:line="360" w:lineRule="auto"/>
    </w:pPr>
    <w:rPr>
      <w:rFonts w:ascii="Tahoma" w:hAnsi="Tahoma"/>
      <w:sz w:val="24"/>
      <w:szCs w:val="24"/>
    </w:rPr>
  </w:style>
  <w:style w:type="paragraph" w:styleId="970">
    <w:name w:val="列表段落"/>
    <w:basedOn w:val="873"/>
    <w:next w:val="970"/>
    <w:link w:val="873"/>
    <w:qFormat/>
    <w:pPr>
      <w:contextualSpacing/>
      <w:ind w:left="720"/>
      <w:jc w:val="left"/>
      <w:widowControl/>
    </w:pPr>
    <w:rPr>
      <w:rFonts w:ascii="Calibri" w:hAnsi="Calibri"/>
      <w:sz w:val="24"/>
      <w:szCs w:val="24"/>
      <w:lang w:eastAsia="en-US" w:bidi="en-US"/>
    </w:rPr>
  </w:style>
  <w:style w:type="paragraph" w:styleId="971">
    <w:name w:val="4"/>
    <w:basedOn w:val="873"/>
    <w:next w:val="929"/>
    <w:link w:val="873"/>
    <w:pPr>
      <w:ind w:firstLine="420"/>
      <w:spacing w:line="360" w:lineRule="auto"/>
    </w:pPr>
    <w:rPr>
      <w:color w:val="ff0000"/>
      <w:sz w:val="24"/>
      <w:szCs w:val="24"/>
    </w:rPr>
  </w:style>
  <w:style w:type="paragraph" w:styleId="972">
    <w:name w:val="普通 (Web)"/>
    <w:basedOn w:val="873"/>
    <w:next w:val="972"/>
    <w:link w:val="873"/>
    <w:pPr>
      <w:jc w:val="left"/>
      <w:spacing w:before="100" w:beforeAutospacing="1" w:after="100" w:afterAutospacing="1"/>
      <w:widowControl/>
    </w:pPr>
    <w:rPr>
      <w:rFonts w:ascii="宋体" w:hAnsi="宋体"/>
      <w:sz w:val="24"/>
      <w:szCs w:val="24"/>
    </w:rPr>
  </w:style>
  <w:style w:type="paragraph" w:styleId="973">
    <w:name w:val=" Char Char Char Char Char Char Char Char Char Char"/>
    <w:basedOn w:val="873"/>
    <w:next w:val="973"/>
    <w:link w:val="873"/>
    <w:pPr>
      <w:spacing w:line="360" w:lineRule="auto"/>
    </w:pPr>
    <w:rPr>
      <w:sz w:val="24"/>
      <w:szCs w:val="20"/>
    </w:rPr>
  </w:style>
  <w:style w:type="paragraph" w:styleId="974">
    <w:name w:val="样式1"/>
    <w:basedOn w:val="873"/>
    <w:next w:val="974"/>
    <w:link w:val="873"/>
    <w:pPr>
      <w:numPr>
        <w:ilvl w:val="0"/>
        <w:numId w:val="3"/>
      </w:numPr>
      <w:tabs>
        <w:tab w:val="left" w:pos="709" w:leader="none"/>
      </w:tabs>
    </w:pPr>
    <w:rPr>
      <w:rFonts w:ascii="宋体" w:hAnsi="宋体"/>
    </w:rPr>
  </w:style>
  <w:style w:type="paragraph" w:styleId="975">
    <w:name w:val="font6"/>
    <w:basedOn w:val="873"/>
    <w:next w:val="975"/>
    <w:link w:val="873"/>
    <w:pPr>
      <w:jc w:val="left"/>
      <w:spacing w:before="100" w:beforeAutospacing="1" w:after="100" w:afterAutospacing="1"/>
      <w:widowControl/>
    </w:pPr>
    <w:rPr>
      <w:rFonts w:hint="eastAsia" w:ascii="宋体" w:hAnsi="宋体"/>
      <w:sz w:val="28"/>
      <w:szCs w:val="28"/>
      <w:u w:val="single"/>
    </w:rPr>
  </w:style>
  <w:style w:type="paragraph" w:styleId="976">
    <w:name w:val="xl25"/>
    <w:basedOn w:val="873"/>
    <w:next w:val="976"/>
    <w:link w:val="87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7">
    <w:name w:val="图标"/>
    <w:basedOn w:val="873"/>
    <w:next w:val="873"/>
    <w:link w:val="873"/>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8">
    <w:name w:val="标题3"/>
    <w:basedOn w:val="873"/>
    <w:next w:val="873"/>
    <w:link w:val="873"/>
    <w:pPr>
      <w:ind w:firstLine="624"/>
      <w:spacing w:line="590" w:lineRule="atLeast"/>
    </w:pPr>
    <w:rPr>
      <w:rFonts w:ascii="方正黑体_GBK" w:eastAsia="方正黑体_GBK"/>
      <w:sz w:val="32"/>
      <w:szCs w:val="32"/>
    </w:rPr>
  </w:style>
  <w:style w:type="paragraph" w:styleId="979">
    <w:name w:val="xl24"/>
    <w:basedOn w:val="873"/>
    <w:next w:val="979"/>
    <w:link w:val="87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0">
    <w:name w:val="xl29"/>
    <w:basedOn w:val="873"/>
    <w:next w:val="980"/>
    <w:link w:val="873"/>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1">
    <w:name w:val="Char Char Char Char Char Char Char Char"/>
    <w:basedOn w:val="873"/>
    <w:next w:val="981"/>
    <w:link w:val="873"/>
    <w:pPr>
      <w:jc w:val="left"/>
      <w:spacing w:after="160" w:line="240" w:lineRule="exact"/>
      <w:widowControl/>
    </w:pPr>
    <w:rPr>
      <w:rFonts w:ascii="Verdana" w:hAnsi="Verdana"/>
      <w:sz w:val="20"/>
      <w:szCs w:val="20"/>
      <w:lang w:eastAsia="en-US"/>
    </w:rPr>
  </w:style>
  <w:style w:type="paragraph" w:styleId="982">
    <w:name w:val="xl28"/>
    <w:basedOn w:val="873"/>
    <w:next w:val="982"/>
    <w:link w:val="87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3">
    <w:name w:val=" Char Char Char Char Char Char Char Char"/>
    <w:basedOn w:val="873"/>
    <w:next w:val="983"/>
    <w:link w:val="873"/>
    <w:pPr>
      <w:jc w:val="left"/>
      <w:spacing w:after="160" w:line="240" w:lineRule="exact"/>
      <w:widowControl/>
    </w:pPr>
    <w:rPr>
      <w:rFonts w:ascii="Verdana" w:hAnsi="Verdana"/>
      <w:sz w:val="20"/>
      <w:szCs w:val="20"/>
      <w:lang w:eastAsia="en-US"/>
    </w:rPr>
  </w:style>
  <w:style w:type="paragraph" w:styleId="984">
    <w:name w:val="xl30"/>
    <w:basedOn w:val="873"/>
    <w:next w:val="984"/>
    <w:link w:val="873"/>
    <w:pPr>
      <w:jc w:val="center"/>
      <w:spacing w:before="100" w:beforeAutospacing="1" w:after="100" w:afterAutospacing="1"/>
      <w:widowControl/>
    </w:pPr>
    <w:rPr>
      <w:rFonts w:ascii="宋体" w:hAnsi="宋体"/>
      <w:b/>
      <w:bCs/>
      <w:sz w:val="36"/>
      <w:szCs w:val="36"/>
    </w:rPr>
  </w:style>
  <w:style w:type="paragraph" w:styleId="985">
    <w:name w:val="Char Char Char Char"/>
    <w:basedOn w:val="898"/>
    <w:next w:val="985"/>
    <w:link w:val="873"/>
    <w:pPr>
      <w:spacing w:line="360" w:lineRule="auto"/>
    </w:pPr>
    <w:rPr>
      <w:rFonts w:ascii="Tahoma" w:hAnsi="Tahoma"/>
      <w:sz w:val="24"/>
      <w:szCs w:val="24"/>
    </w:rPr>
  </w:style>
  <w:style w:type="paragraph" w:styleId="986">
    <w:name w:val="table_1stline"/>
    <w:basedOn w:val="873"/>
    <w:next w:val="986"/>
    <w:link w:val="873"/>
    <w:pPr>
      <w:jc w:val="left"/>
      <w:spacing w:before="120"/>
      <w:widowControl/>
    </w:pPr>
    <w:rPr>
      <w:bCs/>
      <w:sz w:val="20"/>
      <w:szCs w:val="20"/>
      <w:lang w:val="de-DE" w:eastAsia="de-DE"/>
    </w:rPr>
  </w:style>
  <w:style w:type="paragraph" w:styleId="987">
    <w:name w:val="font5"/>
    <w:basedOn w:val="873"/>
    <w:next w:val="987"/>
    <w:link w:val="873"/>
    <w:pPr>
      <w:jc w:val="left"/>
      <w:spacing w:before="100" w:beforeAutospacing="1" w:after="100" w:afterAutospacing="1"/>
      <w:widowControl/>
    </w:pPr>
    <w:rPr>
      <w:rFonts w:hint="eastAsia" w:ascii="宋体" w:hAnsi="宋体"/>
      <w:sz w:val="28"/>
      <w:szCs w:val="28"/>
    </w:rPr>
  </w:style>
  <w:style w:type="paragraph" w:styleId="988">
    <w:name w:val="标题1"/>
    <w:basedOn w:val="873"/>
    <w:next w:val="873"/>
    <w:link w:val="873"/>
    <w:pPr>
      <w:jc w:val="center"/>
      <w:spacing w:line="700" w:lineRule="atLeast"/>
      <w:tabs>
        <w:tab w:val="left" w:pos="9193" w:leader="none"/>
        <w:tab w:val="left" w:pos="9827" w:leader="none"/>
      </w:tabs>
    </w:pPr>
    <w:rPr>
      <w:rFonts w:ascii="方正小标宋_GBK" w:eastAsia="方正小标宋_GBK"/>
      <w:sz w:val="44"/>
      <w:szCs w:val="20"/>
    </w:rPr>
  </w:style>
  <w:style w:type="paragraph" w:styleId="989">
    <w:name w:val="修订"/>
    <w:next w:val="989"/>
    <w:link w:val="873"/>
    <w:uiPriority w:val="99"/>
    <w:semiHidden/>
    <w:rPr>
      <w:sz w:val="21"/>
      <w:szCs w:val="21"/>
      <w:lang w:val="en-US" w:eastAsia="zh-CN" w:bidi="ar-SA"/>
    </w:rPr>
  </w:style>
  <w:style w:type="paragraph" w:styleId="990">
    <w:name w:val="无间隔"/>
    <w:next w:val="990"/>
    <w:link w:val="873"/>
    <w:uiPriority w:val="99"/>
    <w:qFormat/>
    <w:pPr>
      <w:jc w:val="both"/>
      <w:widowControl w:val="off"/>
    </w:pPr>
    <w:rPr>
      <w:sz w:val="21"/>
      <w:szCs w:val="21"/>
      <w:lang w:val="en-US" w:eastAsia="zh-CN" w:bidi="ar-SA"/>
    </w:rPr>
  </w:style>
  <w:style w:type="paragraph" w:styleId="991">
    <w:name w:val="正文文本 211"/>
    <w:basedOn w:val="873"/>
    <w:next w:val="991"/>
    <w:link w:val="873"/>
    <w:uiPriority w:val="99"/>
    <w:qFormat/>
    <w:pPr>
      <w:jc w:val="center"/>
    </w:pPr>
    <w:rPr>
      <w:b/>
      <w:bCs/>
      <w:sz w:val="20"/>
      <w:szCs w:val="20"/>
    </w:rPr>
  </w:style>
  <w:style w:type="table" w:styleId="992">
    <w:name w:val="Table Normal"/>
    <w:next w:val="992"/>
    <w:link w:val="873"/>
    <w:qFormat/>
    <w:rPr>
      <w:lang w:val="en-US" w:eastAsia="zh-CN" w:bidi="ar-SA"/>
    </w:rPr>
    <w:tblPr/>
  </w:style>
  <w:style w:type="paragraph" w:styleId="993">
    <w:name w:val="正文文本1"/>
    <w:basedOn w:val="873"/>
    <w:next w:val="873"/>
    <w:link w:val="873"/>
    <w:semiHidden/>
    <w:qFormat/>
    <w:rPr>
      <w:rFonts w:ascii="Arial" w:hAnsi="Arial" w:eastAsia="Arial" w:cs="Arial"/>
      <w:sz w:val="21"/>
      <w:szCs w:val="21"/>
      <w:lang w:val="en-US" w:eastAsia="en-US" w:bidi="ar-SA"/>
    </w:rPr>
  </w:style>
  <w:style w:type="paragraph" w:styleId="994">
    <w:name w:val="纯文本1"/>
    <w:basedOn w:val="873"/>
    <w:next w:val="994"/>
    <w:link w:val="873"/>
    <w:qFormat/>
    <w:rPr>
      <w:rFonts w:ascii="宋体" w:hAnsi="Courier New" w:cs="Courier New"/>
    </w:rPr>
  </w:style>
  <w:style w:type="table" w:styleId="995">
    <w:name w:val="网格型1"/>
    <w:basedOn w:val="996"/>
    <w:next w:val="995"/>
    <w:link w:val="873"/>
    <w:qFormat/>
    <w:pPr>
      <w:jc w:val="both"/>
      <w:widowControl w:val="off"/>
    </w:pPr>
    <w:tblPr/>
  </w:style>
  <w:style w:type="table" w:styleId="996">
    <w:name w:val="普通表格1"/>
    <w:next w:val="996"/>
    <w:link w:val="873"/>
    <w:uiPriority w:val="99"/>
    <w:unhideWhenUsed/>
    <w:qFormat/>
    <w:rPr>
      <w:lang w:val="en-US" w:eastAsia="zh-CN" w:bidi="ar-SA"/>
    </w:rPr>
    <w:tblPr/>
  </w:style>
  <w:style w:type="paragraph" w:styleId="997">
    <w:name w:val="Table Paragraph"/>
    <w:basedOn w:val="873"/>
    <w:next w:val="997"/>
    <w:link w:val="873"/>
    <w:uiPriority w:val="1"/>
    <w:qFormat/>
    <w:pPr>
      <w:jc w:val="left"/>
    </w:pPr>
    <w:rPr>
      <w:rFonts w:ascii="宋体" w:hAnsi="宋体" w:eastAsia="宋体" w:cs="宋体"/>
      <w:sz w:val="22"/>
      <w:szCs w:val="22"/>
      <w:lang w:val="zh-CN" w:bidi="zh-CN"/>
    </w:rPr>
  </w:style>
  <w:style w:type="character" w:styleId="998">
    <w:name w:val="15"/>
    <w:next w:val="998"/>
    <w:link w:val="873"/>
    <w:rPr>
      <w:rFonts w:ascii="Times New Roman" w:hAnsi="Times New Roman" w:cs="Times New Roman"/>
    </w:rPr>
  </w:style>
  <w:style w:type="paragraph" w:styleId="999">
    <w:name w:val="Table Text"/>
    <w:basedOn w:val="873"/>
    <w:next w:val="999"/>
    <w:link w:val="873"/>
    <w:semiHidden/>
    <w:qFormat/>
    <w:pPr>
      <w:jc w:val="left"/>
      <w:widowControl/>
    </w:pPr>
    <w:rPr>
      <w:rFonts w:ascii="Arial" w:hAnsi="Arial" w:eastAsia="Arial" w:cs="Arial"/>
      <w:color w:val="000000"/>
      <w:lang w:eastAsia="en-US"/>
    </w:rPr>
  </w:style>
  <w:style w:type="paragraph" w:styleId="1000">
    <w:name w:val="普通(网站)1"/>
    <w:basedOn w:val="873"/>
    <w:next w:val="1000"/>
    <w:link w:val="873"/>
    <w:uiPriority w:val="99"/>
    <w:qFormat/>
    <w:pPr>
      <w:jc w:val="left"/>
      <w:spacing w:before="100" w:beforeAutospacing="1" w:after="100" w:afterAutospacing="1"/>
      <w:widowControl/>
    </w:pPr>
    <w:rPr>
      <w:rFonts w:ascii="宋体" w:hAnsi="宋体" w:cs="宋体"/>
      <w:sz w:val="24"/>
      <w:szCs w:val="24"/>
    </w:rPr>
  </w:style>
  <w:style w:type="character" w:styleId="1001" w:default="1">
    <w:name w:val="Default Paragraph Font"/>
    <w:uiPriority w:val="1"/>
    <w:semiHidden/>
    <w:unhideWhenUsed/>
  </w:style>
  <w:style w:type="numbering" w:styleId="1002" w:default="1">
    <w:name w:val="No List"/>
    <w:uiPriority w:val="99"/>
    <w:semiHidden/>
    <w:unhideWhenUsed/>
  </w:style>
  <w:style w:type="table" w:styleId="100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温学梅</cp:lastModifiedBy>
  <cp:revision>8</cp:revision>
  <dcterms:created xsi:type="dcterms:W3CDTF">2023-03-16T02:16:00Z</dcterms:created>
  <dcterms:modified xsi:type="dcterms:W3CDTF">2026-06-10T06:38:21Z</dcterms:modified>
</cp:coreProperties>
</file>